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840" w:right="0" w:firstLine="6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840" w:right="0" w:firstLine="6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840" w:right="0" w:firstLine="6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项目名称：徐圩新区2026-2028年政策性农业保险服务</w:t>
      </w:r>
      <w:r/>
    </w:p>
    <w:p>
      <w:pPr>
        <w:ind w:left="840" w:right="0" w:firstLine="61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项目编号：JSZC-320700-JSYA-G2026-0001</w:t>
        <w:tab/>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638"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638"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638"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w:t>
      </w:r>
      <w:r>
        <w:rPr>
          <w:rFonts w:ascii="SimSun" w:hAnsi="SimSun" w:eastAsia="SimSun" w:cs="SimSun"/>
          <w:color w:val="ff0000"/>
          <w:sz w:val="32"/>
        </w:rPr>
        <w:t xml:space="preserve">   </w:t>
      </w:r>
      <w:r>
        <w:rPr>
          <w:rFonts w:ascii="SimSun" w:hAnsi="SimSun" w:eastAsia="SimSun" w:cs="SimSun"/>
          <w:color w:val="000000"/>
          <w:sz w:val="32"/>
        </w:rPr>
        <w:t xml:space="preserve">购</w:t>
      </w:r>
      <w:r>
        <w:rPr>
          <w:rFonts w:ascii="SimSun" w:hAnsi="SimSun" w:eastAsia="SimSun" w:cs="SimSun"/>
          <w:color w:val="ff0000"/>
          <w:sz w:val="32"/>
        </w:rPr>
        <w:t xml:space="preserve">   </w:t>
      </w:r>
      <w:r>
        <w:rPr>
          <w:rFonts w:ascii="SimSun" w:hAnsi="SimSun" w:eastAsia="SimSun" w:cs="SimSun"/>
          <w:color w:val="000000"/>
          <w:sz w:val="32"/>
        </w:rPr>
        <w:t xml:space="preserve">人：国家东中西区域合作示范区（连云港徐圩新区）社会事业局</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采购代理机构：江苏永安工程项目管理有限公司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 1月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目</w:t>
          </w:r>
          <w:r>
            <w:rPr>
              <w:rFonts w:ascii="SimSun" w:hAnsi="SimSun" w:eastAsia="SimSun" w:cs="SimSun"/>
              <w:b/>
              <w:color w:val="000000"/>
              <w:sz w:val="40"/>
            </w:rPr>
            <w:t xml:space="preserve">   </w:t>
          </w:r>
          <w:r>
            <w:rPr>
              <w:rFonts w:ascii="Arial" w:hAnsi="Arial" w:eastAsia="Arial" w:cs="Arial"/>
              <w:b/>
              <w:color w:val="000000"/>
              <w:sz w:val="40"/>
            </w:rPr>
            <w:t xml:space="preserve">录</w:t>
          </w:r>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11662" w:history="1">
            <w:r>
              <w:rPr>
                <w:rStyle w:val="728"/>
                <w:rFonts w:ascii="SimSun" w:hAnsi="SimSun" w:eastAsia="SimSun" w:cs="SimSun"/>
                <w:color w:val="0000ee"/>
                <w:sz w:val="32"/>
                <w:u w:val="single"/>
              </w:rPr>
              <w:t xml:space="preserve">第一章</w:t>
            </w:r>
            <w:r>
              <w:rPr>
                <w:rStyle w:val="728"/>
                <w:rFonts w:ascii="SimSun" w:hAnsi="SimSun" w:eastAsia="SimSun" w:cs="SimSun"/>
                <w:color w:val="0000ee"/>
                <w:sz w:val="32"/>
                <w:u w:val="none"/>
              </w:rPr>
              <w:t xml:space="preserve"> </w:t>
            </w:r>
            <w:r>
              <w:rPr>
                <w:rStyle w:val="728"/>
                <w:rFonts w:ascii="SimSun" w:hAnsi="SimSun" w:eastAsia="SimSun" w:cs="SimSun"/>
                <w:color w:val="0000ee"/>
                <w:sz w:val="32"/>
                <w:u w:val="single"/>
              </w:rPr>
              <w:t xml:space="preserve">投标邀请</w:t>
              <w:tab/>
            </w:r>
          </w:hyperlink>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6018" w:history="1">
            <w:r>
              <w:rPr>
                <w:rStyle w:val="728"/>
                <w:rFonts w:ascii="SimSun" w:hAnsi="SimSun" w:eastAsia="SimSun" w:cs="SimSun"/>
                <w:color w:val="0000ee"/>
                <w:sz w:val="32"/>
                <w:u w:val="single"/>
              </w:rPr>
              <w:t xml:space="preserve">第二章</w:t>
            </w:r>
            <w:r>
              <w:rPr>
                <w:rStyle w:val="728"/>
                <w:rFonts w:ascii="SimSun" w:hAnsi="SimSun" w:eastAsia="SimSun" w:cs="SimSun"/>
                <w:color w:val="0000ee"/>
                <w:sz w:val="32"/>
                <w:u w:val="none"/>
              </w:rPr>
              <w:t xml:space="preserve"> </w:t>
            </w:r>
            <w:r>
              <w:rPr>
                <w:rStyle w:val="728"/>
                <w:rFonts w:ascii="SimSun" w:hAnsi="SimSun" w:eastAsia="SimSun" w:cs="SimSun"/>
                <w:color w:val="0000ee"/>
                <w:sz w:val="32"/>
                <w:u w:val="single"/>
              </w:rPr>
              <w:t xml:space="preserve">投标人须知</w:t>
              <w:tab/>
            </w:r>
          </w:hyperlink>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10575" w:history="1">
            <w:r>
              <w:rPr>
                <w:rStyle w:val="728"/>
                <w:rFonts w:ascii="SimSun" w:hAnsi="SimSun" w:eastAsia="SimSun" w:cs="SimSun"/>
                <w:color w:val="0000ee"/>
                <w:sz w:val="32"/>
                <w:u w:val="single"/>
              </w:rPr>
              <w:t xml:space="preserve">第三章</w:t>
            </w:r>
            <w:r>
              <w:rPr>
                <w:rStyle w:val="728"/>
                <w:rFonts w:ascii="SimSun" w:hAnsi="SimSun" w:eastAsia="SimSun" w:cs="SimSun"/>
                <w:color w:val="0000ee"/>
                <w:sz w:val="32"/>
                <w:u w:val="none"/>
              </w:rPr>
              <w:t xml:space="preserve"> </w:t>
            </w:r>
            <w:r>
              <w:rPr>
                <w:rStyle w:val="728"/>
                <w:rFonts w:ascii="SimSun" w:hAnsi="SimSun" w:eastAsia="SimSun" w:cs="SimSun"/>
                <w:color w:val="0000ee"/>
                <w:sz w:val="32"/>
                <w:u w:val="single"/>
              </w:rPr>
              <w:t xml:space="preserve">合同文本</w:t>
              <w:tab/>
            </w:r>
          </w:hyperlink>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11244" w:history="1">
            <w:r>
              <w:rPr>
                <w:rStyle w:val="728"/>
                <w:rFonts w:ascii="SimSun" w:hAnsi="SimSun" w:eastAsia="SimSun" w:cs="SimSun"/>
                <w:color w:val="0000ee"/>
                <w:sz w:val="32"/>
                <w:u w:val="single"/>
              </w:rPr>
              <w:t xml:space="preserve">第四章</w:t>
            </w:r>
            <w:r>
              <w:rPr>
                <w:rStyle w:val="728"/>
                <w:rFonts w:ascii="SimSun" w:hAnsi="SimSun" w:eastAsia="SimSun" w:cs="SimSun"/>
                <w:color w:val="0000ee"/>
                <w:sz w:val="32"/>
                <w:u w:val="none"/>
              </w:rPr>
              <w:t xml:space="preserve"> </w:t>
            </w:r>
            <w:r>
              <w:rPr>
                <w:rStyle w:val="728"/>
                <w:rFonts w:ascii="SimSun" w:hAnsi="SimSun" w:eastAsia="SimSun" w:cs="SimSun"/>
                <w:color w:val="0000ee"/>
                <w:sz w:val="32"/>
                <w:u w:val="single"/>
              </w:rPr>
              <w:t xml:space="preserve">采购需求</w:t>
              <w:tab/>
            </w:r>
          </w:hyperlink>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3341" w:history="1">
            <w:r>
              <w:rPr>
                <w:rStyle w:val="728"/>
                <w:rFonts w:ascii="SimSun" w:hAnsi="SimSun" w:eastAsia="SimSun" w:cs="SimSun"/>
                <w:color w:val="0000ee"/>
                <w:sz w:val="32"/>
                <w:u w:val="single"/>
              </w:rPr>
              <w:t xml:space="preserve">第五章</w:t>
            </w:r>
            <w:r>
              <w:rPr>
                <w:rStyle w:val="728"/>
                <w:rFonts w:ascii="SimSun" w:hAnsi="SimSun" w:eastAsia="SimSun" w:cs="SimSun"/>
                <w:color w:val="0000ee"/>
                <w:sz w:val="32"/>
                <w:u w:val="none"/>
              </w:rPr>
              <w:t xml:space="preserve"> </w:t>
            </w:r>
            <w:r>
              <w:rPr>
                <w:rStyle w:val="728"/>
                <w:rFonts w:ascii="SimSun" w:hAnsi="SimSun" w:eastAsia="SimSun" w:cs="SimSun"/>
                <w:color w:val="0000ee"/>
                <w:sz w:val="32"/>
                <w:u w:val="single"/>
              </w:rPr>
              <w:t xml:space="preserve">评标方法与评标标准</w:t>
              <w:tab/>
            </w:r>
          </w:hyperlink>
          <w:r/>
        </w:p>
        <w:p>
          <w:pPr>
            <w:ind w:left="0" w:right="0" w:firstLine="0"/>
            <w:jc w:val="both"/>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29841" w:history="1">
            <w:r>
              <w:rPr>
                <w:rStyle w:val="728"/>
                <w:rFonts w:ascii="SimSun" w:hAnsi="SimSun" w:eastAsia="SimSun" w:cs="SimSun"/>
                <w:color w:val="0000ee"/>
                <w:sz w:val="32"/>
                <w:u w:val="single"/>
              </w:rPr>
              <w:t xml:space="preserve">第六章</w:t>
            </w:r>
            <w:r>
              <w:rPr>
                <w:rStyle w:val="728"/>
                <w:rFonts w:ascii="SimSun" w:hAnsi="SimSun" w:eastAsia="SimSun" w:cs="SimSun"/>
                <w:color w:val="0000ee"/>
                <w:sz w:val="32"/>
                <w:u w:val="none"/>
              </w:rPr>
              <w:t xml:space="preserve"> </w:t>
            </w:r>
            <w:r>
              <w:rPr>
                <w:rStyle w:val="728"/>
                <w:rFonts w:ascii="SimSun" w:hAnsi="SimSun" w:eastAsia="SimSun" w:cs="SimSun"/>
                <w:color w:val="0000ee"/>
                <w:sz w:val="32"/>
                <w:u w:val="single"/>
              </w:rPr>
              <w:t xml:space="preserve">投标文件格式</w:t>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第一章投标邀请</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项目概况</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徐圩新区2026-2028年政策性农业保险服务 JSZC-320700-JSYA-G2026-0001 招标项目的潜在投标人应在江苏政府采购网 获取招标文件，并于2026-02-25 10:30 （北京时间）前递交投标文件。</w:t>
            </w:r>
            <w:r/>
          </w:p>
        </w:tc>
      </w:tr>
    </w:tbl>
    <w:p>
      <w:pPr>
        <w:pStyle w:val="69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项目编号：JSZC-320700-JSYA-G2026-0001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项目名称：徐圩新区2026-2028年政策性农业保险服务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预算金额：492.390000万元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最高限价（如有）：人民币492.39万元，报价超过最高限价的按无效标处理。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徐圩新区2026-2028年政策性农业保险服务；包括不限于水稻、小麦、玉米等主要种植业保险，育肥猪等主要养殖业保险，设施大棚等政策性（财政奖补保费）险种，以及根据上级有关规定及本地实际情况增设的奖补险种。</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合同履行期限：3年（根据上年度保险到期日签订保单）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69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1.法人或者其他组织的营业执照等证明文件，自然人的身份证明。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2.2023或2024年度的财务状况报告（成立不满一年无需提供）</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4.具备履行合同所必需的设备和专业技术能力的书面声明。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5.参加政府采购活动前3年内在经营活动中没有重大违法记录的书面声明。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1.本项目非专门面向中小企业采购。</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1.投标人经保险监管机构批准经营（提供保险监督管理机构颁发的《保险许可证》）</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或投标人的上级公司必须符合中国银保监会江苏监管局规定的农业保险业务经营条件。（提供符合中国银保监会江苏监管局规定的农业保险业务经营条件的证明或符合江苏省农业保险业务经营条件的上级公司出具的授权委托证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3.总公司与中国农业再保险股份有限公司签署当期有效的《政策性农业保险再保险标准协议》</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或投标人上级公司按照财政部《农业保险大灾风险准备金管理办法》规定，计提、使用、管理农业保险大灾风险准备金。提供投标人或投标人上级公司向省财政部门报送的2024年度大灾风险准备金的计提、使用、管理等情况的报告</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5.同一保险集团公司的不同分（子）公司，不得同时参加本项目投标，否则投标无效</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6.单位负责人为同一人或者存在直接控股、管理关系的不同供应商，不得参加同一合同项下的政府采购活动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7.资格审查现场查询时，被信用中国、中国政府采购网列入失信被执行人、税收违法黑名单、政府采购严重违法失信行为记录名单的供应商，拒绝其参与政府采购活动。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8.投标人须满足江苏省财政厅、江苏省农业农村局发布的苏财金【2024】144号文规定的参选资格条件。（提供承诺书，格式自拟）</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9.成交后不允许分包或转包，不接受联合体投标。</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10.法律、法规规定的其他条件。（如有，请按要求提供）</w:t>
      </w:r>
      <w:r/>
    </w:p>
    <w:p>
      <w:pPr>
        <w:pStyle w:val="69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方式：投标人办理江苏省政府采购交易系统CA数字证书，登录“苏采云”政府采购交易系统，自行下载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69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2026-02-25 10:30 （北京时间）</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69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69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pStyle w:val="690"/>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Calibri" w:hAnsi="Calibri" w:eastAsia="Calibri" w:cs="Calibri"/>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单位名称：国家东中西区域合作示范区（连云港徐圩新区）社会事业局本级</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单位地址：江苏省连云港市徐圩新区合作路100号云湖社区服务中心4楼</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联系人：苗方圆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联系电话：18994508703</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单位名称：江苏永安工程项目管理有限公司</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单位地址：江苏省连云港市东海县牛山镇海陵东路309号东方银座2-309-14</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联系人：王倩</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联系电话：13961302272</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项目联系人：王倩</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电话：13961302272</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84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84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第二章投标人须知</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91"/>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1、招标方式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w:t>
      </w:r>
      <w:r>
        <w:rPr>
          <w:rFonts w:ascii="SimSun" w:hAnsi="SimSun" w:eastAsia="SimSun" w:cs="SimSun"/>
          <w:b/>
          <w:color w:val="000000"/>
          <w:sz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符合上述条件的投标人应承担投标及履约过程应承担的全部责任与义务。</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4.1投标人应自行承担所有与参加投标有关的费用，无论投标过程中的做法和结果如何，采购人和江苏永安工程项目管理有限公司（以下简称代理公司）在任何情况下均无义务和责任承担这些费用。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代理费根据《关于江苏省招标代理服务收费的指导意见》（苏招协【2022】002号）标准计取，由成交人支付，该费用不单独计列，综合考虑计入响应文件报价中。相关费用必须在中标公示后中标通知书发出前由中标人一次性付清。</w:t>
      </w:r>
      <w:r/>
    </w:p>
    <w:p>
      <w:pPr>
        <w:pStyle w:val="691"/>
        <w:ind w:left="0" w:right="0" w:firstLine="56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请仔细检查招标文件是否齐全，如有缺漏请立即与代理公司联系解决。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7.1任何要求对招标文件进行澄清的投标人，应在投标截止时间十日前按招标公告中的通讯地址，以书面形式通知采购人或者代理公司。</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8.1在投标截止时间前，采购人和代理公司可以对招标文件进行修改。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8.2采购人和代理公司有权按照法定的要求推迟投标截止日期和开标日期。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8.3招标文件的修改将在江苏政府采购网公布，补充文件将作为招标文件的组成部分，并对投标人具有约束力。</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三、投标文件编制</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11.2如投标文件制作工具中的格式和内容与江苏政府采购网发布的招标文件不一致，请以江苏政府采购网发布的招标文件为准。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特别提醒投标人，混乱的编排导致投标文件被误读或评标委员会（以下简称评委会）查找不到有效文件是投标人的风险。</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投标人委托代理时应当提交授权委托书，请按招标文件第六章规定格式及要求填写并附法定代表人（单位负责人）与委托代理人身份证明。</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13.2投标文件中的单价和总价无特殊规定的采用人民币报价，以元为单位标注。招标文件中另有规定的按规定执行。</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14.2投标人可在投标文件中提供认为需要的其他技术文件或说明。</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15.1投标人需根据招标文件要求提供有关售后服务的管理制度，售后服务机构的分布情况，售后服务人员的数量、素质、技术水平及售后服务的反应能力等。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15.2投标人需根据招标文件要求提供培训计划、人员安排等。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15.3投标人需根据招标文件要求提供所投标的主要组成部分、功能设计、实现思路及关键技术等。</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16.1投标人应按照招标文件中提供的格式完整、正确填写投标函、开标一览表。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16.2对于采用货币报价的项目，开标一览表中的投标总报价应与投标分项报价表中的投标总报价一致，如不一致，不做无效投标处理，但评标时以开标一览表中价格为准。</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17.1投标有效期为招标文件规定的开标之日后六十（60）天。投标有效期比规定短的将被视为未实质性响应招标文件而予以拒绝。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四、投标文件递交</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18.1投标人应当按照《操作手册》规定，在投标截止时间前制作并递交（上传）电子投标文件。</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投标人应充分考虑计算机硬件、软件及网络环境等风险因素，如因投标人自身原因造成电子投标文件递交（上传）不成功的按照本招标文件第二章第27.1条规定做无效投标处理。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19.2采购人和代理公司可以按照规定，通过修改招标文件酌情延长投标截止时间，在此情况下，投标人的所有权利和义务以及投标人受制的截止时间均应以延长后新的截止时间为准。</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代理公司拒绝接收在招标文件规定的投标截止时间后递交（上传）的任何投标文件。</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21.1投标人可在投标截止时间前，撤回其电子投标文件，具体操作方法见《操作手册》。投标人撤回电子投标文件的，则认为其不再参与本项目投标活动。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21.3在投标截止时间至招标文件中规定的投标有效期满之间的这段时间内，投标人不得撤回其投标。</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22.1代理公司将在招标公告中规定的时间和地点组织公开开标。投标人应当按时参加开标活动，并在“苏采云”系统规定的时间内对投标文件进行解密。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22.2开标仪式由代理公司组织。“苏采云”系统将自动对项目进行开标，并宣布各投标人名称和投标价格。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22.4投标人如果对开标过程和开标记录有疑义，应当按照《操作手册》规定提出，未在“苏采云”系统《开标记录表》宣布后5分钟内提出的，视同认可开标结果。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 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 投标人在开、评标全过程中应保持通信畅通，及时登录“苏采云”系统查阅、答复相关信息，并安排专人与代理公司及评委会联系。</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23.1开标后，代理公司将组织评委会进行评标。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23.3评委会按照采购文件规定的评审程序、评审方法和评审标准进行独立评审并确定中标候选人。</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24.1凡与审查、澄清、评价和比较投标的有关资料以及投标建议等，采购人、评审专家、代理公司均不得向投标人或与评标无关的其他人员透露。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24.3代理公司和评委会不向未中标的投标人解释未中标原因，也不公布评标过程中的相关细节。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24.4采用综合评分法的项目，未中标的投标人可于中标结果公告期限届满之日起通过“苏采云”系统查看自己的评审得分及排序情况。</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25.3接到评委会澄清、说明或者补正要求的投标人如未按要求响应，其风险由投标人自行承担。</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26、对投标文件的初审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（1）资格审查：依据法律法规和招标文件的规定，由采购人对投标文件中的资格证明文件进行审查。资格审查的结论，采购人以书面形式向评委会进行反馈。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采购人在进行资格性审查的同时，将在“信用中国”网（www.creditchina.gov.</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cn）、中国政府采购网（www.ccgp.gov.cn）查询投标人的信用记录，以确定投标人是否具备投标资格，查询结果留存并归档。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（2）符合性审查：评委会依据招标文件的规定，从投标文件的有效性、完整性和对招标文件的响应程度进行审查，以确定其是否对招标文件的实质性要求作出响应。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未通过资格审查或符合性审查的投标人，将在“苏采云”系统中告知其未通过资格审查或符合性审查的原因，评审结束后，将不再告知。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26.3如果投标文件实质上没有响应招标文件的要求，评委会将予以拒绝，投标人不得通过修改或撤销不符合要求的偏离或保留而使其投标成为实质性响应的投标。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（8）不符合招标文件中规定的实质性要求和条件的（本招标文件中斜体且有下划线部分为实质性要求和条件）。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采购产品（如有）被财政部、国家发展改革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（12）投标文件未按照招标文件要求加盖公章（CA电子公章）的。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（2）评委会认定招标文件存在歧义、重大缺陷导致评审工作无法进行的。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（3）符合专业条件的投标人或者对招标文件做实质响应的投标人不足三家的。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27.4出现投标截止时间结束后参加投标的投标人或者在评标期间对招标文件做出实质响应的投标人不足三家情况的，按照政府采购相关规定执行。</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28.1中标候选人的选取原则和数量详见招标文件第五章规定。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28.3代理公司将在江苏政府采购网发布中标公告，公告期限为1个工作日。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（2）向采购人、采购中心行贿或者提供其他不正当利益的。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（3）属于本文件规定的无效条件，但在评标过程中又未被评委会发现的。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（4）与采购人或者其他投标人恶意串通的。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（5）采取不正当手段诋毁、排挤其他投标人的。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中标人应在中标后七个工作日内，向采购人和代理公司各提供</w:t>
      </w:r>
      <w:r>
        <w:rPr>
          <w:rFonts w:ascii="SimSun" w:hAnsi="SimSun" w:eastAsia="SimSun" w:cs="SimSun"/>
          <w:b/>
          <w:color w:val="000000"/>
          <w:sz w:val="24"/>
        </w:rPr>
        <w:t xml:space="preserve">一正四副</w:t>
      </w:r>
      <w:r>
        <w:rPr>
          <w:rFonts w:ascii="SimSun" w:hAnsi="SimSun" w:eastAsia="SimSun" w:cs="SimSun"/>
          <w:color w:val="000000"/>
          <w:sz w:val="24"/>
        </w:rPr>
        <w:t xml:space="preserve">与电子投标文件一致的纸质打印胶装投标文件，封面、骑缝需加盖公章。</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10%。</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32、政府采购履约资金扶持政策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中标人可凭政府采购合同办理融资贷款，详情请见江苏政府采购网“政采贷”专栏。</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八、询问与质疑</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33、询问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34、质疑提出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34.1提出质疑的投标人应当是参与所质疑项目采购活动的投标人。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未依照采购公告要求获取采购文件的投标人，视为未参与该项目采购活动，不具备对该采购文件提出质疑的法定权利。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34.4质疑函的接收方式为投标人书面原件提交。联系部门、联系电话和通讯地址详见招标文件第一章。质疑实行实名制，不得进行虚假、恶意质疑。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 质疑函应当使用范本，详见招标文件第六章。投标人提出质疑应当提交质疑函和必要的证明材料，应当包括下列内容：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投标人为自然人的，应当由本人签字；投标人为法人或者其他组织的，应当由法定代表人、主要负责人，或者其委托代理人签字或者盖章，并加盖单位公章。</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35、质疑函的受理和答复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对不符合质疑要求的，采购人、代理公司有权要求其补充必要的证明材料，质疑投标人未在法定的时间内提供补充必要的证明材料的，视同放弃质疑。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（4）未参加采购活动的投标人或在采购活动中自身权益未受到损害的投标人提出的质疑。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35.5采购人、代理公司依法受理的质疑，将按照政府采购有关规定，在法定期限内答复。</w:t>
      </w:r>
      <w:r/>
    </w:p>
    <w:p>
      <w:pPr>
        <w:pStyle w:val="691"/>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36、质疑处理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质疑投标人未按照法定程序进行质疑投诉的，视为一般失信行为。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质疑投标人不配合或者采用不正当手段干扰政府采购质疑、投诉处理工作的，视为一般失信行为。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质疑投标人投诉受理期间，就同一事项多头举报，干扰财政部门投诉处理的，视为一般失信行为。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质疑投标人在全国范围12个月内三次以上质疑查无实据的，视为一般失信行为。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质疑投标人在全国范围12个月内三次以上投诉查无实据的，视为严重失信行为。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36.7未尽事宜，依照有关法律、法规执行。</w:t>
      </w:r>
      <w:r/>
    </w:p>
    <w:p>
      <w:pPr>
        <w:pStyle w:val="690"/>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九、政府采购政策功能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1、对于小型、微型企业、监狱企业、残疾人福利性单位报价以扣除优惠比率后的价格参与评审，但不作为中标价和合同签约价。中标价和合同签约价仍以其投标文件中的一次报价为准。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2、价格给予扣除标准：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w:t>
      </w:r>
      <w:r>
        <w:rPr>
          <w:rFonts w:ascii="SimSun" w:hAnsi="SimSun" w:eastAsia="SimSun" w:cs="SimSun"/>
          <w:color w:val="000000"/>
          <w:sz w:val="24"/>
        </w:rPr>
        <w:t xml:space="preserve">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本项目价格扣除计算方法如下：参与报价得分计算的价格＝投标人的投标报价-小型、微型企业、监狱企业、残疾人福利性单位的投标报价×10%。</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3、参加政府采购活动的供应商享受价格评审优惠的应当提供的材料：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（1）供应商为小型、微型企业的，提供《中小企业声明函》（第六部分“投标文件格式”）。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（2）供应商为残疾人福利性单位的，符合财库〔2017〕141号文件规定条件的残疾人福利性单位视同小型、微型企业，提供《残疾人福利性单位声明函》（第六部分“投标文件格式”）。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（3）供应商为监狱企业的，提供省级以上监狱管理局、戒毒管理局（含新疆生产建设兵团）出具的属于监狱企业的证明文件。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w:t>
      </w:r>
      <w:r>
        <w:rPr>
          <w:rFonts w:ascii="SimSun" w:hAnsi="SimSun" w:eastAsia="SimSun" w:cs="SimSun"/>
          <w:color w:val="000000"/>
          <w:sz w:val="24"/>
        </w:rPr>
        <w:t xml:space="preserve">明文件。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33.2支持绿色发展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第三章合同文本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（备注：以下为中标后签订本项目合同的通用条款，中标人不得提出实质性的修改）</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连云港市政府采购合同（服务）</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none"/>
        </w:rPr>
        <w:t xml:space="preserve">甲方：（买方）</w:t>
      </w:r>
      <w:r>
        <w:rPr>
          <w:rFonts w:ascii="Calibri" w:hAnsi="Calibri" w:eastAsia="Calibri" w:cs="Calibri"/>
          <w:color w:val="000000"/>
          <w:sz w:val="24"/>
        </w:rPr>
        <w:t xml:space="preserve">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w:t>
      </w:r>
      <w:r>
        <w:rPr>
          <w:rFonts w:ascii="Calibri" w:hAnsi="Calibri" w:eastAsia="Calibri" w:cs="Calibri"/>
          <w:color w:val="000000"/>
          <w:sz w:val="24"/>
        </w:rPr>
        <w:t xml:space="preserve">_________</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甲、乙双方根据</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rPr>
          <w:rFonts w:ascii="Arial" w:hAnsi="Arial" w:eastAsia="Arial" w:cs="Arial"/>
          <w:color w:val="000000"/>
          <w:sz w:val="24"/>
          <w:u w:val="single"/>
        </w:rPr>
        <w:t xml:space="preserve">         </w:t>
      </w:r>
      <w:r>
        <w:rPr>
          <w:rFonts w:ascii="Arial" w:hAnsi="Arial" w:eastAsia="Arial" w:cs="Arial"/>
          <w:color w:val="000000"/>
          <w:sz w:val="24"/>
        </w:rPr>
        <w:t xml:space="preserve">项目（项目编号：</w:t>
      </w:r>
      <w:r>
        <w:rPr>
          <w:rFonts w:ascii="Arial" w:hAnsi="Arial" w:eastAsia="Arial" w:cs="Arial"/>
          <w:color w:val="000000"/>
          <w:sz w:val="24"/>
          <w:u w:val="single"/>
        </w:rPr>
        <w:t xml:space="preserve">         </w:t>
      </w:r>
      <w:r>
        <w:rPr>
          <w:rFonts w:ascii="Arial" w:hAnsi="Arial" w:eastAsia="Arial" w:cs="Arial"/>
          <w:color w:val="000000"/>
          <w:sz w:val="24"/>
        </w:rPr>
        <w:t xml:space="preserve">）公开招标的结果，签订本合同。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Arial" w:hAnsi="Arial" w:eastAsia="Arial" w:cs="Arial"/>
          <w:color w:val="000000"/>
          <w:sz w:val="24"/>
        </w:rPr>
        <w:t xml:space="preserve">服务内容：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 </w:t>
      </w:r>
      <w:r>
        <w:rPr>
          <w:rFonts w:ascii="Arial" w:hAnsi="Arial" w:eastAsia="Arial" w:cs="Arial"/>
          <w:color w:val="000000"/>
          <w:sz w:val="24"/>
        </w:rPr>
        <w:t xml:space="preserve">服务要求：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 </w:t>
      </w:r>
      <w:r>
        <w:rPr>
          <w:rFonts w:ascii="Arial" w:hAnsi="Arial" w:eastAsia="Arial" w:cs="Arial"/>
          <w:color w:val="000000"/>
          <w:sz w:val="24"/>
        </w:rPr>
        <w:t xml:space="preserve">服务标准：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1.4 </w:t>
      </w:r>
      <w:r>
        <w:rPr>
          <w:rFonts w:ascii="Arial" w:hAnsi="Arial" w:eastAsia="Arial" w:cs="Arial"/>
          <w:color w:val="000000"/>
          <w:sz w:val="24"/>
        </w:rPr>
        <w:t xml:space="preserve">补充条款：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Arial" w:hAnsi="Arial" w:eastAsia="Arial" w:cs="Arial"/>
          <w:color w:val="000000"/>
          <w:sz w:val="24"/>
        </w:rPr>
        <w:t xml:space="preserve">本合同金额为人民币（大写）：</w:t>
      </w:r>
      <w:r>
        <w:rPr>
          <w:rFonts w:ascii="Arial" w:hAnsi="Arial" w:eastAsia="Arial" w:cs="Arial"/>
          <w:color w:val="000000"/>
          <w:sz w:val="24"/>
          <w:u w:val="single"/>
        </w:rPr>
        <w:t xml:space="preserve"> </w:t>
      </w:r>
      <w:r>
        <w:rPr>
          <w:rFonts w:ascii="Calibri" w:hAnsi="Calibri" w:eastAsia="Calibri" w:cs="Calibri"/>
          <w:color w:val="000000"/>
          <w:sz w:val="24"/>
          <w:u w:val="single"/>
        </w:rPr>
        <w:t xml:space="preserve">    </w:t>
      </w:r>
      <w:r>
        <w:rPr>
          <w:rFonts w:ascii="Arial" w:hAnsi="Arial" w:eastAsia="Arial" w:cs="Arial"/>
          <w:color w:val="000000"/>
          <w:sz w:val="24"/>
        </w:rPr>
        <w:t xml:space="preserve">元（</w:t>
      </w:r>
      <w:r>
        <w:rPr>
          <w:rFonts w:ascii="Calibri" w:hAnsi="Calibri" w:eastAsia="Calibri" w:cs="Calibri"/>
          <w:color w:val="000000"/>
          <w:sz w:val="24"/>
        </w:rPr>
        <w:t xml:space="preserve">¥</w:t>
      </w:r>
      <w:r>
        <w:rPr>
          <w:rFonts w:ascii="Arial" w:hAnsi="Arial" w:eastAsia="Arial" w:cs="Arial"/>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Arial" w:hAnsi="Arial" w:eastAsia="Arial" w:cs="Arial"/>
          <w:color w:val="000000"/>
          <w:sz w:val="24"/>
        </w:rPr>
        <w:t xml:space="preserve">本合同价款包含所有乙方提供合同约定产品和服务的报酬及乙方提供合同约定产品和服务所支出的必要费用，甲方在上述合同价款之外不再向乙方支付其他任何费用。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Arial" w:hAnsi="Arial" w:eastAsia="Arial" w:cs="Arial"/>
          <w:color w:val="000000"/>
          <w:sz w:val="24"/>
        </w:rPr>
        <w:t xml:space="preserve">乙方应按招标文件规定的时间向甲方提供有关技术资料。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 </w:t>
      </w:r>
      <w:r>
        <w:rPr>
          <w:rFonts w:ascii="Arial" w:hAnsi="Arial" w:eastAsia="Arial" w:cs="Arial"/>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乙方保证所交付标的的所有权完全属于乙方且无任何抵押、查封等产权瑕疵。</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本合同不收取履约保证金。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Arial" w:hAnsi="Arial" w:eastAsia="Arial" w:cs="Arial"/>
          <w:color w:val="000000"/>
          <w:sz w:val="24"/>
        </w:rPr>
        <w:t xml:space="preserve">本合同范围内产品或服务，应由乙方直接供应，不得转让他人供应或部分分包给他人供应。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7.2 </w:t>
      </w:r>
      <w:r>
        <w:rPr>
          <w:rFonts w:ascii="Arial" w:hAnsi="Arial" w:eastAsia="Arial" w:cs="Arial"/>
          <w:color w:val="000000"/>
          <w:sz w:val="24"/>
        </w:rPr>
        <w:t xml:space="preserve">如有转让和未经甲方同意的分包行为，甲方有权终止合同。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八、服务时间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Arial" w:hAnsi="Arial" w:eastAsia="Arial" w:cs="Arial"/>
          <w:color w:val="000000"/>
          <w:sz w:val="24"/>
        </w:rPr>
        <w:t xml:space="preserve">服务时间：</w:t>
      </w:r>
      <w:r>
        <w:rPr>
          <w:rFonts w:ascii="Arial" w:hAnsi="Arial" w:eastAsia="Arial" w:cs="Arial"/>
          <w:color w:val="000000"/>
          <w:sz w:val="24"/>
          <w:u w:val="single"/>
        </w:rPr>
        <w:t xml:space="preserve">           </w:t>
      </w:r>
      <w:r>
        <w:rPr>
          <w:rFonts w:ascii="SimHei" w:hAnsi="SimHei" w:eastAsia="SimHei" w:cs="SimHei"/>
          <w:color w:val="000000"/>
          <w:sz w:val="24"/>
          <w:u w:val="single"/>
        </w:rPr>
        <w:t xml:space="preserve"> </w:t>
      </w:r>
      <w:r>
        <w:rPr>
          <w:rFonts w:ascii="SimHei" w:hAnsi="SimHei" w:eastAsia="SimHei" w:cs="SimHei"/>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九、合同内容的交付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Arial" w:hAnsi="Arial" w:eastAsia="Arial" w:cs="Arial"/>
          <w:color w:val="000000"/>
          <w:sz w:val="24"/>
        </w:rPr>
        <w:t xml:space="preserve">交 付 期：</w:t>
      </w:r>
      <w:r>
        <w:rPr>
          <w:rFonts w:ascii="Calibri" w:hAnsi="Calibri" w:eastAsia="Calibri" w:cs="Calibri"/>
          <w:color w:val="000000"/>
          <w:sz w:val="24"/>
        </w:rPr>
        <w:t xml:space="preserve">_________</w:t>
      </w:r>
      <w:r>
        <w:rPr>
          <w:rFonts w:ascii="Arial" w:hAnsi="Arial" w:eastAsia="Arial" w:cs="Arial"/>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Arial" w:hAnsi="Arial" w:eastAsia="Arial" w:cs="Arial"/>
          <w:color w:val="000000"/>
          <w:sz w:val="24"/>
        </w:rPr>
        <w:t xml:space="preserve">交付方式：</w:t>
      </w:r>
      <w:r>
        <w:rPr>
          <w:rFonts w:ascii="Calibri" w:hAnsi="Calibri" w:eastAsia="Calibri" w:cs="Calibri"/>
          <w:color w:val="000000"/>
          <w:sz w:val="24"/>
        </w:rPr>
        <w:t xml:space="preserve">_________</w:t>
      </w:r>
      <w:r>
        <w:rPr>
          <w:rFonts w:ascii="Arial" w:hAnsi="Arial" w:eastAsia="Arial" w:cs="Arial"/>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9.3 </w:t>
      </w:r>
      <w:r>
        <w:rPr>
          <w:rFonts w:ascii="Arial" w:hAnsi="Arial" w:eastAsia="Arial" w:cs="Arial"/>
          <w:color w:val="000000"/>
          <w:sz w:val="24"/>
        </w:rPr>
        <w:t xml:space="preserve">交付地点：</w:t>
      </w:r>
      <w:r>
        <w:rPr>
          <w:rFonts w:ascii="Calibri" w:hAnsi="Calibri" w:eastAsia="Calibri" w:cs="Calibri"/>
          <w:color w:val="000000"/>
          <w:sz w:val="24"/>
        </w:rPr>
        <w:t xml:space="preserve">_________</w:t>
      </w:r>
      <w:r>
        <w:rPr>
          <w:rFonts w:ascii="Arial" w:hAnsi="Arial" w:eastAsia="Arial" w:cs="Arial"/>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9.4</w:t>
      </w:r>
      <w:r>
        <w:rPr>
          <w:rFonts w:ascii="Arial" w:hAnsi="Arial" w:eastAsia="Arial" w:cs="Arial"/>
          <w:color w:val="000000"/>
          <w:sz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9.5</w:t>
      </w:r>
      <w:r>
        <w:rPr>
          <w:rFonts w:ascii="Arial" w:hAnsi="Arial" w:eastAsia="Arial" w:cs="Arial"/>
          <w:color w:val="000000"/>
          <w:sz w:val="24"/>
        </w:rPr>
        <w:t xml:space="preserve"> 乙方在合同标的交付甲方</w:t>
      </w:r>
      <w:r>
        <w:rPr>
          <w:rFonts w:ascii="Calibri" w:hAnsi="Calibri" w:eastAsia="Calibri" w:cs="Calibri"/>
          <w:color w:val="000000"/>
          <w:sz w:val="24"/>
        </w:rPr>
        <w:t xml:space="preserve">48</w:t>
      </w:r>
      <w:r>
        <w:rPr>
          <w:rFonts w:ascii="Arial" w:hAnsi="Arial" w:eastAsia="Arial" w:cs="Arial"/>
          <w:color w:val="000000"/>
          <w:sz w:val="24"/>
        </w:rPr>
        <w:t xml:space="preserve">小时前通知甲方准备接收。合同标的在规定的交付期限内由乙方送达甲方指定的地点视为交付，乙方同时需通知甲方已送达。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十、合同款支付</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Arial" w:hAnsi="Arial" w:eastAsia="Arial" w:cs="Arial"/>
          <w:color w:val="000000"/>
          <w:sz w:val="24"/>
        </w:rPr>
        <w:t xml:space="preserve">付款方式：</w:t>
      </w:r>
      <w:r>
        <w:rPr>
          <w:rFonts w:ascii="Arial" w:hAnsi="Arial" w:eastAsia="Arial" w:cs="Arial"/>
          <w:color w:val="000000"/>
          <w:sz w:val="24"/>
          <w:u w:val="single"/>
        </w:rPr>
        <w:t xml:space="preserve"> </w:t>
      </w:r>
      <w:r>
        <w:rPr>
          <w:rFonts w:ascii="Calibri" w:hAnsi="Calibri" w:eastAsia="Calibri" w:cs="Calibri"/>
          <w:color w:val="000000"/>
          <w:sz w:val="24"/>
          <w:u w:val="single"/>
        </w:rPr>
        <w:t xml:space="preserve">             </w:t>
      </w:r>
      <w:r>
        <w:rPr>
          <w:rFonts w:ascii="Arial" w:hAnsi="Arial" w:eastAsia="Arial" w:cs="Arial"/>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Arial" w:hAnsi="Arial" w:eastAsia="Arial" w:cs="Arial"/>
          <w:color w:val="000000"/>
          <w:sz w:val="24"/>
        </w:rPr>
        <w:t xml:space="preserve">当采购数量与实际使用数量不一致时，乙方应根据实际使用量提供产品和服务，合同的最终结算金额按实际使用量乘以中标单价计算。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十一、税费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Arial" w:hAnsi="Arial" w:eastAsia="Arial" w:cs="Arial"/>
          <w:color w:val="000000"/>
          <w:sz w:val="24"/>
        </w:rPr>
        <w:t xml:space="preserve">本合同执行中相关的一切税费均由乙方负担。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十二、质量保证及售后服务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Arial" w:hAnsi="Arial" w:eastAsia="Arial" w:cs="Arial"/>
          <w:color w:val="000000"/>
          <w:sz w:val="24"/>
        </w:rPr>
        <w:t xml:space="preserve">乙方应按招标文件规定和投标文件承诺的性能、技术要求、质量标准向甲方提供产品或服务。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Arial" w:hAnsi="Arial" w:eastAsia="Arial" w:cs="Arial"/>
          <w:color w:val="000000"/>
          <w:sz w:val="24"/>
        </w:rPr>
        <w:t xml:space="preserve">乙方提供的产品或服务在服务期内因其本身出现质量问题，根据实际情况，经双方协商，可按以下办法处理：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）更换：由乙方承担所产生的全部费用。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）合同终止处理：合同终止，乙方退还甲方支付的合同款，同时承担由此产生的全部费用，甲方不承担任何产生费用。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Arial" w:hAnsi="Arial" w:eastAsia="Arial" w:cs="Arial"/>
          <w:color w:val="000000"/>
          <w:sz w:val="24"/>
        </w:rPr>
        <w:t xml:space="preserve">如在使用过程中发生质量问题，乙方在接到甲方通知后</w:t>
      </w:r>
      <w:r>
        <w:rPr>
          <w:rFonts w:ascii="Arial" w:hAnsi="Arial" w:eastAsia="Arial" w:cs="Arial"/>
          <w:color w:val="000000"/>
          <w:sz w:val="24"/>
          <w:u w:val="single"/>
        </w:rPr>
        <w:t xml:space="preserve">   </w:t>
      </w:r>
      <w:r>
        <w:rPr>
          <w:rFonts w:ascii="Arial" w:hAnsi="Arial" w:eastAsia="Arial" w:cs="Arial"/>
          <w:color w:val="000000"/>
          <w:sz w:val="24"/>
        </w:rPr>
        <w:t xml:space="preserve">小时内到达甲方现场。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12.4 </w:t>
      </w:r>
      <w:r>
        <w:rPr>
          <w:rFonts w:ascii="Arial" w:hAnsi="Arial" w:eastAsia="Arial" w:cs="Arial"/>
          <w:color w:val="000000"/>
          <w:sz w:val="24"/>
        </w:rPr>
        <w:t xml:space="preserve">在服务期内，乙方应对产品或服务出现的质量及安全问题负责处理解决并承担一切费用。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十三、项目验收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Arial" w:hAnsi="Arial" w:eastAsia="Arial" w:cs="Arial"/>
          <w:color w:val="000000"/>
          <w:sz w:val="24"/>
        </w:rPr>
        <w:t xml:space="preserve">甲方依法组织履约验收工作。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Arial" w:hAnsi="Arial" w:eastAsia="Arial" w:cs="Arial"/>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Arial" w:hAnsi="Arial" w:eastAsia="Arial" w:cs="Arial"/>
          <w:color w:val="000000"/>
          <w:sz w:val="24"/>
        </w:rPr>
        <w:t xml:space="preserve">对于实际使用人和甲方分离的项目，甲方邀请实际使用人参与验收。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13.4 </w:t>
      </w:r>
      <w:r>
        <w:rPr>
          <w:rFonts w:ascii="Arial" w:hAnsi="Arial" w:eastAsia="Arial" w:cs="Arial"/>
          <w:color w:val="000000"/>
          <w:sz w:val="24"/>
        </w:rPr>
        <w:t xml:space="preserve">如有必要，甲方邀请参加本项目的其他供应商或第三方专业机构及专家参与验收，相关意见将作为验收书的参考资料。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13.5 </w:t>
      </w:r>
      <w:r>
        <w:rPr>
          <w:rFonts w:ascii="Arial" w:hAnsi="Arial" w:eastAsia="Arial" w:cs="Arial"/>
          <w:color w:val="000000"/>
          <w:sz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13.6 </w:t>
      </w:r>
      <w:r>
        <w:rPr>
          <w:rFonts w:ascii="Arial" w:hAnsi="Arial" w:eastAsia="Arial" w:cs="Arial"/>
          <w:color w:val="000000"/>
          <w:sz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十四、违约责任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Arial" w:hAnsi="Arial" w:eastAsia="Arial" w:cs="Arial"/>
          <w:color w:val="000000"/>
          <w:sz w:val="24"/>
        </w:rPr>
        <w:t xml:space="preserve">甲方无正当理由拒收的，甲方向乙方偿付拒收标的总额</w:t>
      </w:r>
      <w:r>
        <w:rPr>
          <w:rFonts w:ascii="Arial" w:hAnsi="Arial" w:eastAsia="Arial" w:cs="Arial"/>
          <w:color w:val="000000"/>
          <w:sz w:val="24"/>
          <w:u w:val="single"/>
        </w:rPr>
        <w:t xml:space="preserve">       </w:t>
      </w:r>
      <w:r>
        <w:rPr>
          <w:rFonts w:ascii="Arial" w:hAnsi="Arial" w:eastAsia="Arial" w:cs="Arial"/>
          <w:color w:val="000000"/>
          <w:sz w:val="24"/>
        </w:rPr>
        <w:t xml:space="preserve">的违约金。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Arial" w:hAnsi="Arial" w:eastAsia="Arial" w:cs="Arial"/>
          <w:color w:val="000000"/>
          <w:sz w:val="24"/>
        </w:rPr>
        <w:t xml:space="preserve">甲方无故逾期验收和办理合同款支付手续的，甲方应按逾期付款总额每日</w:t>
      </w:r>
      <w:r>
        <w:rPr>
          <w:rFonts w:ascii="Arial" w:hAnsi="Arial" w:eastAsia="Arial" w:cs="Arial"/>
          <w:color w:val="000000"/>
          <w:sz w:val="24"/>
          <w:u w:val="single"/>
        </w:rPr>
        <w:t xml:space="preserve">       </w:t>
      </w:r>
      <w:r>
        <w:rPr>
          <w:rFonts w:ascii="Arial" w:hAnsi="Arial" w:eastAsia="Arial" w:cs="Arial"/>
          <w:color w:val="000000"/>
          <w:sz w:val="24"/>
        </w:rPr>
        <w:t xml:space="preserve">向乙方支付违约金，最高限额为本合同总额的</w:t>
      </w:r>
      <w:r>
        <w:rPr>
          <w:rFonts w:ascii="Arial" w:hAnsi="Arial" w:eastAsia="Arial" w:cs="Arial"/>
          <w:color w:val="000000"/>
          <w:sz w:val="24"/>
          <w:u w:val="single"/>
        </w:rPr>
        <w:t xml:space="preserve">       </w:t>
      </w:r>
      <w:r>
        <w:rPr>
          <w:rFonts w:ascii="Arial" w:hAnsi="Arial" w:eastAsia="Arial" w:cs="Arial"/>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14.3 </w:t>
      </w:r>
      <w:r>
        <w:rPr>
          <w:rFonts w:ascii="Arial" w:hAnsi="Arial" w:eastAsia="Arial" w:cs="Arial"/>
          <w:color w:val="000000"/>
          <w:sz w:val="24"/>
        </w:rPr>
        <w:t xml:space="preserve">乙方逾期交付合同标的的，乙方应按逾期交付总额每日</w:t>
      </w:r>
      <w:r>
        <w:rPr>
          <w:rFonts w:ascii="Arial" w:hAnsi="Arial" w:eastAsia="Arial" w:cs="Arial"/>
          <w:color w:val="000000"/>
          <w:sz w:val="24"/>
          <w:u w:val="single"/>
        </w:rPr>
        <w:t xml:space="preserve">       </w:t>
      </w:r>
      <w:r>
        <w:rPr>
          <w:rFonts w:ascii="Arial" w:hAnsi="Arial" w:eastAsia="Arial" w:cs="Arial"/>
          <w:color w:val="000000"/>
          <w:sz w:val="24"/>
        </w:rPr>
        <w:t xml:space="preserve">向甲方支付违约金，由甲方从待付合同款中扣除，最高限额为本合同总额的</w:t>
      </w:r>
      <w:r>
        <w:rPr>
          <w:rFonts w:ascii="Arial" w:hAnsi="Arial" w:eastAsia="Arial" w:cs="Arial"/>
          <w:color w:val="000000"/>
          <w:sz w:val="24"/>
          <w:u w:val="single"/>
        </w:rPr>
        <w:t xml:space="preserve">       </w:t>
      </w:r>
      <w:r>
        <w:rPr>
          <w:rFonts w:ascii="Arial" w:hAnsi="Arial" w:eastAsia="Arial" w:cs="Arial"/>
          <w:color w:val="000000"/>
          <w:sz w:val="24"/>
        </w:rPr>
        <w:t xml:space="preserve">。逾期超过约定日期</w:t>
      </w:r>
      <w:r>
        <w:rPr>
          <w:rFonts w:ascii="Arial" w:hAnsi="Arial" w:eastAsia="Arial" w:cs="Arial"/>
          <w:color w:val="000000"/>
          <w:sz w:val="24"/>
          <w:u w:val="single"/>
        </w:rPr>
        <w:t xml:space="preserve">       </w:t>
      </w:r>
      <w:r>
        <w:rPr>
          <w:rFonts w:ascii="Arial" w:hAnsi="Arial" w:eastAsia="Arial" w:cs="Arial"/>
          <w:color w:val="000000"/>
          <w:sz w:val="24"/>
        </w:rPr>
        <w:t xml:space="preserve">不能交付的，甲方可解除本合同。乙方因逾期交付或因其他违约行为导致甲方解除合同的，乙方应向甲方支付合同总额</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14.4 </w:t>
      </w:r>
      <w:r>
        <w:rPr>
          <w:rFonts w:ascii="Arial" w:hAnsi="Arial" w:eastAsia="Arial" w:cs="Arial"/>
          <w:color w:val="000000"/>
          <w:sz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十五、不可抗力事件处理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Arial" w:hAnsi="Arial" w:eastAsia="Arial" w:cs="Arial"/>
          <w:color w:val="000000"/>
          <w:sz w:val="24"/>
        </w:rPr>
        <w:t xml:space="preserve">在合同有效期内，任何一方因不可抗力事件导致不能履行合同的，则合同履行期可延长，其延长期与不可抗力影响期相同。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Arial" w:hAnsi="Arial" w:eastAsia="Arial" w:cs="Arial"/>
          <w:color w:val="000000"/>
          <w:sz w:val="24"/>
        </w:rPr>
        <w:t xml:space="preserve">不可抗力事件发生后，应立即通知对方，并寄送有关权威机构出具的证明。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Arial" w:hAnsi="Arial" w:eastAsia="Arial" w:cs="Arial"/>
          <w:color w:val="000000"/>
          <w:sz w:val="24"/>
        </w:rPr>
        <w:t xml:space="preserve">不可抗力事件延续</w:t>
      </w:r>
      <w:r>
        <w:rPr>
          <w:rFonts w:ascii="Calibri" w:hAnsi="Calibri" w:eastAsia="Calibri" w:cs="Calibri"/>
          <w:color w:val="000000"/>
          <w:sz w:val="24"/>
        </w:rPr>
        <w:t xml:space="preserve">120</w:t>
      </w:r>
      <w:r>
        <w:rPr>
          <w:rFonts w:ascii="Arial" w:hAnsi="Arial" w:eastAsia="Arial" w:cs="Arial"/>
          <w:color w:val="000000"/>
          <w:sz w:val="24"/>
        </w:rPr>
        <w:t xml:space="preserve">天以上，双方应通过友好协商，确定是否继续履行合同。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十六、解决争议的方法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Arial" w:hAnsi="Arial" w:eastAsia="Arial" w:cs="Arial"/>
          <w:color w:val="000000"/>
          <w:sz w:val="24"/>
        </w:rPr>
        <w:t xml:space="preserve">甲乙双方因合同签订、履行而发生的一切争议，应通过友好协商解决。如协商不成，按下列第</w:t>
      </w:r>
      <w:r>
        <w:rPr>
          <w:rFonts w:ascii="Arial" w:hAnsi="Arial" w:eastAsia="Arial" w:cs="Arial"/>
          <w:color w:val="000000"/>
          <w:sz w:val="24"/>
          <w:u w:val="single"/>
        </w:rPr>
        <w:t xml:space="preserve">（</w:t>
      </w:r>
      <w:r>
        <w:rPr>
          <w:rFonts w:ascii="Calibri" w:hAnsi="Calibri" w:eastAsia="Calibri" w:cs="Calibri"/>
          <w:color w:val="000000"/>
          <w:sz w:val="24"/>
          <w:u w:val="single"/>
        </w:rPr>
        <w:t xml:space="preserve">2</w:t>
      </w:r>
      <w:r>
        <w:rPr>
          <w:rFonts w:ascii="Arial" w:hAnsi="Arial" w:eastAsia="Arial" w:cs="Arial"/>
          <w:color w:val="000000"/>
          <w:sz w:val="24"/>
          <w:u w:val="single"/>
        </w:rPr>
        <w:t xml:space="preserve">）</w:t>
      </w:r>
      <w:r>
        <w:rPr>
          <w:rFonts w:ascii="Arial" w:hAnsi="Arial" w:eastAsia="Arial" w:cs="Arial"/>
          <w:color w:val="000000"/>
          <w:sz w:val="24"/>
        </w:rPr>
        <w:t xml:space="preserve">种方式解决：</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）向连云港仲裁委员会申请仲裁。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）向合同签订地法院起诉，合同签订地在此约定为连云港</w:t>
      </w:r>
      <w:r>
        <w:rPr>
          <w:rFonts w:ascii="SimSun" w:hAnsi="SimSun" w:eastAsia="SimSun" w:cs="SimSun"/>
          <w:color w:val="000000"/>
          <w:sz w:val="24"/>
        </w:rPr>
        <w:t xml:space="preserve">徐圩新区</w:t>
      </w:r>
      <w:r>
        <w:rPr>
          <w:rFonts w:ascii="Arial" w:hAnsi="Arial" w:eastAsia="Arial" w:cs="Arial"/>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十七、合同生效及其他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Arial" w:hAnsi="Arial" w:eastAsia="Arial" w:cs="Arial"/>
          <w:color w:val="000000"/>
          <w:sz w:val="24"/>
        </w:rPr>
        <w:t xml:space="preserve">合同经双方法定代表人或授权代表签字并加盖单位公章后生效。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Arial" w:hAnsi="Arial" w:eastAsia="Arial" w:cs="Arial"/>
          <w:color w:val="000000"/>
          <w:sz w:val="24"/>
        </w:rPr>
        <w:t xml:space="preserve">本合同未尽事宜，遵照《中华人民共和国民法典》、《中华人民共和国政府采购法》有关条文执行。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17.3 </w:t>
      </w:r>
      <w:r>
        <w:rPr>
          <w:rFonts w:ascii="Arial" w:hAnsi="Arial" w:eastAsia="Arial" w:cs="Arial"/>
          <w:color w:val="000000"/>
          <w:sz w:val="24"/>
        </w:rPr>
        <w:t xml:space="preserve">本合同正本一式四份，具有同等法律效力，甲方执二份、乙方执一份，甲方报一份至政府采购监督管理部门。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甲方：乙方：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地址：地址：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法定代表人或授权代表：法定代表人或授权代表：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签订日期：年月日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pStyle w:val="689"/>
        <w:ind w:left="0" w:right="0" w:firstLine="0"/>
        <w:jc w:val="center"/>
        <w:spacing w:before="156" w:after="156"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第四章采购需求</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说明：本项目采购方式为公开招标，本项目属性为</w:t>
      </w:r>
      <w:r>
        <w:rPr>
          <w:rFonts w:ascii="SimSun" w:hAnsi="SimSun" w:eastAsia="SimSun" w:cs="SimSun"/>
          <w:b/>
          <w:color w:val="000000"/>
          <w:sz w:val="24"/>
        </w:rPr>
        <w:t xml:space="preserve">服务</w:t>
      </w:r>
      <w:r>
        <w:rPr>
          <w:rFonts w:ascii="SimSun" w:hAnsi="SimSun" w:eastAsia="SimSun" w:cs="SimSun"/>
          <w:color w:val="000000"/>
          <w:sz w:val="24"/>
        </w:rPr>
        <w:t xml:space="preserve">，采购标的对应的中小企业划分标准所属行业为：</w:t>
      </w:r>
      <w:r>
        <w:rPr>
          <w:rFonts w:ascii="SimSun" w:hAnsi="SimSun" w:eastAsia="SimSun" w:cs="SimSun"/>
          <w:b/>
          <w:color w:val="000000"/>
          <w:sz w:val="24"/>
          <w:u w:val="single"/>
        </w:rPr>
        <w:t xml:space="preserve">其他未列明行业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、根据《政府采购需求管理办法》等有关规定，采购人确定采购需求。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7493"/>
      </w:tblGrid>
      <w:tr>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2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采购需求中须满足的实质性要求和条件</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实质性要求和条件</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合同履行期限：三年，具体保险期间以保单所载为准。</w:t>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付款方式：按保单年度付款，保单发票出具后三个月内对公转账。</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服务质量要求：符合国家新《中华人民共和国保险法》的相关标准或行业标准。</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（一）项目名称：徐圩新区2026-2028年政策性农业保险服务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（二）承保模式：在连云港市徐圩新区行政区域内确定一家供应商提供政策性农业保险服务。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（三）承保险种。包括不限于水稻、小麦、玉米等主要种植业保险，育肥猪等主要养殖业保险，设施大棚等政策性（财政奖补保费）险种，以及根据上级有关规定及本地实际情况增设的奖补险种。</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（四）投保自愿。农业保险坚持投保自愿原则。农户自愿投保所需险种，在缴纳应付保险费的同时，保险合同生效，享受政府相应补贴。</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（五）政府引导。财政部门通过保险费补贴等政策支持，鼓励和引导农户、农业生产经营组织投保农业保险。农业保险财政补贴按照省、市、县财政部门的相关规定实施。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（六）险种标准。供应商承保政策性险种应严格执行省、市、县下发的关于条款及费率、指导意见等文件实施。保险险种、保险金额或赔偿限额根据市、县要求。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鼓励创新。中标供应商积极探索开发适合承保区域农业生产特点的农业保险新险种，不断提高农业保险产品供给能力。拟开办新险种的保险条款，接受甲方指导管理。新开办保险品种按照“谁开办、谁受益”的原则给与保护期支持，保护期按照省市有关规定执行，没有规定的，与本协议截止时间一致。</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（八）中标供应商不能满足当地农民和农业生产组织需求的政策性险种，采购人可以另行组织政府采购活动授权符合江苏经营农业保险条件的保险机构经办。</w:t>
      </w:r>
      <w:r/>
    </w:p>
    <w:p>
      <w:pPr>
        <w:ind w:left="0" w:right="0" w:firstLine="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二、服务技术要求及相关说明</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（一）服务范围：连云港市徐圩新区行政区域。</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（二）服务期限：三年。</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供应商需要配备专业人员和协保员，保证每个街道和行政村农业保险服务网点的服务功能，能够深入农村做好农业保险政策宣传、业务培训、承保、勘查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每月向甲方报告农业保险经营情况、财务情况；完成省、市、区下达的农业保险高质量发展目标任务。</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（四）服务标准：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1、组织及业务管理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（1）供应商设置农险责任部门，配置农险管理类、业务发展类、理赔服务类等专职人员，做好农业保险有关工作，专业技术人员在业务素质和数量上能够适应服务工作要求。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备在连云港市提供应急服务的能力，安排服务人员，保证农业保险服务正常运行，能够深入农村高质量做好农业保险服务工作。在发生重大灾害、疫病及其他突发情况时，能够提供必要的应急服务，能在2小时内现场响应甲方，接受甲方统一安排工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（3）供应商应配不少于2台服务车辆，服务车辆数量能够满足日常承保、理赔服务需求，同时在自然灾害、重大疫情等突发情况下，有足够数量的应急使用车辆响应相关工作安排。</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农险业务信息系统与其他保险业务分开管理，具备相对独立、功能完善的农业保险信息管理系统，具备数据管理和统计分析功能，能够直接导出承保、理赔、批改等数据，满足及时、准确报送农业保险数据信息的功能。</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（5）供应商及时完成相关人员的培训工作，专业技术人员在业务素质和数量上要充分保障本项目相关条件及要求。每年对保险业务人员、服务人员、种养大户、村组干部至少开展2次宣传培训活动。</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（6）供应商按照《江苏省省级财政农业保险保费补贴管理办法》（苏财规〔2022〕6 号）的要求，及时报送承保理赔材料凭证。</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（7）供应商每年 2 月 1 日前，必须按财政部门的结算要求，向甲方提交上年财政年度结算申请报告及附件（上年度农业保险实施方案、工作总结、农业保险保费结算统计表、投保台账、理赔台账、财政专项资金项目申报信用承诺书等），同时提交电子文档。</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（8）供应商按照《江苏省政策性农业保险承保机构服务评价暂行办法》及时提供材料凭证接受评价。</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（9）供应商按时完成采购人安排的农业保险相关工作。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（10）供应商积极开展防灾减损等特色服务活动，不断提高承保区域农业生产的抗风险能力。</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2、服务规范</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主动高效服务农户保险需要，按照《农业保险承保理赔管理办法》和省、市、县有关规定，规范开展承保理赔工作，并留存承保、理赔档案。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标承保。a.对单独出单的种养大户、家庭农场、龙头企业或农业生产经营组织，实行全部实地验标；b.对集体投保的种植业保险标的实行抽检，抽检比例不低于5%，分户清单中投保的土地面积大于100亩的按照单独投保要求做好验标工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及时承保。在规定的时间节点完成农业保险各险种的承保工作：a.小麦、油菜在2月底前完成投保与承保工作；b.春玉米必须在每年5月底前完成承保工作；c.水稻、玉米在8月底前完成投保与承保工作；d.能繁母猪、育肥猪、蔬菜大棚等所有高效农业类险种，根据各类主体需求及时承保。</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（3）在收取投保人自缴保费后，保险合同成立，应向投保人出具相应的保险凭证和保费收据，按照保险合同约定承担赔偿责任。</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（4）报案受理。设立24小时保险服务专线电话，随时接受被保险人的出险报案。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（5）查勘时效。接到报案后需要进行现场查勘的，24小时内到达现场，组织现场查勘工作。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（6）查勘人员。查勘人员。现场查勘人员须正式员工2人以上共同查勘。同时，在自然灾害、重大疫情等突发情况下，有足够数量的查勘人员可以参与应急相应、现场查勘和其他相关工作。</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（7）损失鉴定报告。有农业专家参与查勘的，损失鉴定报告应有专家的签字。</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（8）及时定责定损。对于技术性较强或有争议、疑难的案件时，应当聘请公估机构、有关专家或技术人员参与赔案的处理。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（9）及时理赔。及时处理保险事故、及时理赔付款。小麦、油菜、水稻、玉米应在收获后45日内完成理赔，养殖业应在事故报案后30日内完成理赔；在保险赔案达成协议后10日内支付理赔款，年度结案率95%以上。</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（10）业务真实完整。承保理赔应真实，留存材料符合财政、农业农村、保险监管等部门的规定。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（11）灾害证明。主动联系气象及相关部门开具灾害证明，证明中出险时间、地点、原因，事故技术性数据与现场查勘报告记载实际情况相符，技术性数据符合条款释义中规定。</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公示要求。按规定在村集体、农业企业公示栏等显著位置或通过互联网、短信、微信等方式，将集体出单的农业保险承保理赔情况进行公示，公示时间不得少于3天。公示期间，若接到对公示内容的反馈意见，应及时处理。</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（13）回访要求。出单后两个月内，要对农户承保、理赔等环节工作质量进行回访，采取随机抽样方式选择回访对象，各乡镇投保、理赔户次的回访比例不低于3%。</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3、服务绩效目标</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（1）三大粮食作物承保率、育肥猪保险不低于省、市、县下达的年度指标。</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（2）政策性农业保险保费规模、保障总额不低于上年。保障总额是全部保险合同保险金额之和。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（3）农业保险费用率不高于省有关要求。</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（4）已决赔款、已决案件数计算的理赔结案率不低于省、市、县下达的年度指标。</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（5）按照“连政办发〔2018〕180号”规定，农业保险管理费按当年保费总收入的2%提取。</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（6）不得因拒绝承保、拖赔、惜赔等损害农民权益行为被农户投诉、举报、上访，理赔纠纷能够得到及时处理，妥善化解矛盾与争议。</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4、中标供应商无正当理由不得放弃入围且不得转包。对入围后放弃入围或转包的机构，取消政策性农业保险承保机构遴选资格。</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（四）服务方案：</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供应商有内容完整、合理可行的服务方案，包括但不限于宣传推动工作方案、承保工作方案、理赔工作方案、服务创新方案等。</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宣传推动工作方案应围绕农业保险高质量发展目标和保险费补贴整体绩效目标制定，内容包括不限于宣传措施、经费保障及考核奖励措施等。</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承保工作方案应围绕农业保险高质量发展目标和保险费补贴整体绩效目标制定，内容包括不限于工作目标、服务流程、针对种植业、养殖业、高效设施农业承保推进的措施等。</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理赔工作方案应围绕精准理赔工作制定，内容包括但不限于查勘理赔工作流程、服务目标、服务举措等。</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服务创新方案应围绕农民利益，提高农民获得感，拟定服务创新工作方案，包括但不限于防灾减损以及在农险业务、服务等创新方向措施。</w:t>
      </w:r>
      <w:r/>
    </w:p>
    <w:p>
      <w:pPr>
        <w:ind w:left="0" w:right="0" w:firstLine="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三、付款方式</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依据《江苏省财政厅关于进一步加强和改进农业保险保费补贴资金管理的通知》（苏财金〔2021〕98 号），供应商及时提供申请保费补贴报告以及必要的凭证材料，采购人在审核检查无误的基础上拨付保险费补贴资金。</w:t>
      </w:r>
      <w:r/>
    </w:p>
    <w:p>
      <w:pPr>
        <w:ind w:left="0" w:right="0" w:firstLine="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四、保险合同</w:t>
      </w:r>
      <w:r/>
    </w:p>
    <w:p>
      <w:pPr>
        <w:ind w:left="0" w:right="0" w:firstLine="480"/>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保险合同（保险单）应当按照《中华人民共和国保险法》的规定，还应当明确载明农业保险标的位置和农户、农业生产经营组织、地方财政、中央财政等各方承担的保费比例及金额。</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8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第五章评标方法与评标标准</w:t>
      </w:r>
      <w:r/>
    </w:p>
    <w:p>
      <w:pPr>
        <w:ind w:left="0" w:right="0" w:firstLine="643"/>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一、评标方法</w:t>
      </w:r>
      <w:r/>
    </w:p>
    <w:p>
      <w:pPr>
        <w:ind w:left="0" w:right="0" w:firstLine="643"/>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综合评分法：评标结果按评审后得分由高到低顺序排列，得分相同的按现场抽签结果的顺序确定中标候选人。</w:t>
      </w:r>
      <w:r/>
    </w:p>
    <w:p>
      <w:pPr>
        <w:ind w:left="0" w:right="0" w:firstLine="643"/>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二、评标标准</w:t>
      </w:r>
      <w:r/>
    </w:p>
    <w:p>
      <w:pPr>
        <w:ind w:left="0" w:right="0" w:firstLine="643"/>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643"/>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（2）本项目评分总分为100分，按四舍五入取至小数点后两位。</w:t>
      </w:r>
      <w:r/>
    </w:p>
    <w:p>
      <w:pPr>
        <w:ind w:left="0" w:right="0" w:firstLine="643"/>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（3）总得分=技术分+商务分。</w:t>
      </w:r>
      <w:r/>
    </w:p>
    <w:p>
      <w:pPr>
        <w:ind w:left="0" w:right="0" w:firstLine="643"/>
        <w:jc w:val="center"/>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综合评分法</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5"/>
        <w:gridCol w:w="1515"/>
        <w:gridCol w:w="6147"/>
        <w:gridCol w:w="767"/>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3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合规经营（14分）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公司风险综合评级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投标人总公司2025年第三季度风险综合评级（分类监管），A级类，得5分，B级类，得4分，其他情况不得分。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（提供2025年第三季度C-ROSS国家金融监督管理总局偿付能力监管信息系统截图，包含网站页面截图）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合规服务业绩</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2023年-2025年投标人有政策性农业保险服务经验的，每提供一个得1.5分，最多得 9 分；不提供不得分。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2023年1月1日及以后投标人或投标人下辖分支机构与政府或政策性农业保险主管单位签订的政策性农业保险服务协议（合同）及对应的农业保险保单，内容能够证明政策性农业保险服务经验和服务区县（含功能区板块）。原件扫描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r>
      <w:tr>
        <w:trPr>
          <w:trHeight w:val="11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风险管控（16分）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农业保险责任部门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投标人设置农业保险部门，设置的得 5 分；未设置不得分。</w:t>
              <w:br/>
              <w:t xml:space="preserve">（提供招标公告发布之日前投标人设立农业保险责任部门的文件。原件扫描或复印件加盖公章上传）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18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农险业务信息管理水平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相对独立、功能完善的农业保险信息管理系统，具备数据管理和统计分析功能，能够直接导出承保数据得1.5分、理赔数据得1.5分、批改数据得1.5分、汇总数据得1.5分，最高得6分。提供证明材料得满分；不提供不得分。</w:t>
              <w:br/>
              <w:t xml:space="preserve">（提供农业保险信息系统有关功能截图、模块清单截图，上传）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r>
      <w:tr>
        <w:trPr>
          <w:trHeight w:val="109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农险管理制度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投标人或所属省（市）级分公司或所属总公司具有农业保险内控制度,内容包括风险识别、承保理赔、合规管理、费用管理、数据安全等，每提供一项得1分，满分5分。</w:t>
              <w:br/>
              <w:t xml:space="preserve">提供农业保险内控制度扫描件或截图并加盖公章，不提供不得分。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1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服务能力(50分)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上年度公司偿付能力充足率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投标人总公司 2024年度末（4 季度）的核心偿付能力充足率，200%以上得 6 分，200%（含）～180%得 4 分，180%（含）～160%得 2 分；160%以下得 0 分。</w:t>
              <w:br/>
              <w:t xml:space="preserve">（提供中国保险行业协会官方网站公布的 2024年 4 季度偿付能力 报告（摘要）截图和网站链接）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r>
      <w:tr>
        <w:trPr>
          <w:trHeight w:val="186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理赔及时性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投标人2024 年 1 月 1 日-12 月 31 日在政策性农业保险理赔结案率（结案数/立案数）95%及以上得10分；95%-85%（含）（8 分）；85%-75%（含）（6 分）；75%-60%（含）（4 分）； 60%以下，得 0 分。没有政策性农业保险理赔案件，提供商业性农业保险理赔结案率，最多得 1 分。不提供得 0 分。（提供业务信息系统统计分析截图，上传）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14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基层服务网点承诺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三个月内在不影响承保、理赔等日常工作的前提下设立农险服务网点（服务网点包括保险监管机构批准的分支机构、当地农险工作小组认可的专门服务站点）的，得5分；不承诺或不满足招标文件要求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提供加盖投标人公章的承诺函，格式自拟。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7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政策性农险专职服务人员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投标人或投标人下辖分支机构为徐圩新区配置专职政策性农险服务人员的，每个人员得 3 分，最多得 9 分；没有配置的或配置不全的，提供中标后在 2 个月内配置政策性农险服务人员承诺书的，得 3 分。不提供不得分。</w:t>
              <w:br/>
              <w:t xml:space="preserve">（配置专职政策性农险服务人员的提供证明材料，包括：专职服务人员名单及2025年8-10月任意一个月缴纳社会保险的证明材料。其他情况提供承诺书。原件扫描上传）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r>
      <w:tr>
        <w:trPr>
          <w:trHeight w:val="7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服务车辆配备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投标人承诺中标后在在中标区域内配置不低于 2 台（含）农业保险服务用车。承诺书格式自拟。</w:t>
              <w:br/>
              <w:t xml:space="preserve">提供承诺书的得5分，不提供，不得分。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7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农险专业人员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投标人配备5名农险专业人员为基准数，合计5人以下得 2 分，合计5人（含）得 4 分，之后每增加 1人加 1分，最高得6分；没有配备农险专业人员不得分。</w:t>
              <w:br/>
              <w:t xml:space="preserve">（提供投标公告发布之日前市级分支机构人力资源系统中配备相关专业人员并显示农险相关岗位的截图证明及2025年8-10月任意一个月缴纳社会保险的证明材料。原件扫描或复印件加盖公章上传）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r>
      <w:tr>
        <w:trPr>
          <w:trHeight w:val="7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投标人提供承诺书，内容包含：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①三大粮食作物种植面积承保率达到省市区下达的指标；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②农业保险保费规模、农业保险保障总额不低于上年；③农业保险费用率不高于省有关要求；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④按当年已决赔款、已决案件数计算的理赔结案率达到省市区下达的指标；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⑤按照财政、农业农村、保险监管等部门规定规范理赔活动；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⑥按照区相关部门要求及时报送承保理赔数据、总结材料、按照《江苏省财政厅关于进一步加强和改进农业保险保费补贴资金管理的 通知》（苏财金〔2021〕98 号）、《江苏省省级财政农业保险保 费补贴管理办法》（苏财规〔2022〕6 号）要求及时报送承保理赔材料凭证；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⑦按照《江苏省政策性农业保险承保机构服务评价暂行办法》及时提供材料凭证接受评价等。</w:t>
              <w:br/>
              <w:t xml:space="preserve">提供承诺书得5分，不承诺不得分。</w:t>
              <w:br/>
              <w:t xml:space="preserve">（承诺格式自拟，原件扫描上传）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7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产品创新能力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根据投标人或投标人上级公司2022年1月1日以来得到国家或省级行业主管部门公布的农业保险创新产品，每提供一个创新产品得1分，最高得4分。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注：提供2022年1月1日以来国家或省级农业保险工作小组公布的农业保险创新产品目录及对应文件。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相关工作方案（20分）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宣传推动工作方案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投标人围绕农业保险高质量发展目标和保险费补贴整体绩效目标，拟定农业保险政策宣传推动工作方案，包括但不限于宣传措施、经费保障及考核奖励措施等。</w:t>
              <w:br/>
              <w:t xml:space="preserve">政策宣传方向正确，方案合适，形式新颖，实用性强的得5 分；</w:t>
              <w:br/>
              <w:t xml:space="preserve">政策宣传方向正确，方案较完善，比较实用的得 3 分；</w:t>
              <w:br/>
              <w:t xml:space="preserve">政策宣传方向合理，方案一般，基本可行的得 1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15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承保工作方案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投标人围绕农业保险高质量发展目标和保险费补贴整体绩效目标，拟定承保方案，包括不限于工作目标、服务流程、承保推进的措施。 总体方案完善，实施措施详尽，保证措施科学合理可行的得5分； 总体方案比较完善，实施措施比较详尽，保证措施比较合理可行 的得3分； 总体方案基本完善，实施措施基本详尽，保证措施可行性一般的 得1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15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理赔工作方案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投标人围绕精准理赔工作的查勘理赔工作方案，包括但不限于查勘理赔工作流程、服务举措。工作方案架构详细，流程清晰，可实施性强的得 5 分；</w:t>
              <w:br/>
              <w:t xml:space="preserve">工作方案架构比较详细，流程比较清楚，可实施性比较的得3 分； 工作方案架构基本详细，流程基本完整，方法描述基本合理可行 的得 1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r>
        <w:trPr>
          <w:trHeight w:val="15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服务创新方案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投标人拟定防灾减损、创新工作方案，包括不限于在农险业务、服务、与农村信贷相结合等创新方向措施。 服务创新方案全面，防灾减损预期效果好，内容合理的得 5 分； 服务创新方案较全面，防灾减损预期效果比较好，内容比较合理 的得 3 分； 服务创新方案基本全面，防灾减损预期效果一般，内容基本合理 的得 1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40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采用综合评分法的，评标结果按评审得分由高到低顺序排列。得分相同的按现场抽签结果的顺序确定中标候选人。本项目选取1家中标候选人。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89"/>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二、2023或2024年度的财务状况报告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i/>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投标人名称</w:t>
      </w:r>
      <w:r>
        <w:rPr>
          <w:rFonts w:ascii="SimSun" w:hAnsi="SimSun" w:eastAsia="SimSun" w:cs="SimSun"/>
          <w:color w:val="000000"/>
          <w:sz w:val="24"/>
        </w:rPr>
        <w:t xml:space="preserve">参加</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i/>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五、参加政府采购活动前3年内在经营活动中没有重大违法记录的书面声明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九、本项目的其他资格要求的证明文件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十、授权委托书与法定代表人（单位负责人）身份证明</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十一、投标函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致：江苏永安工程项目管理有限公司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根据贵方的JSZC-____________号招标文件，正式授权下述签字人________（姓名）代表我方___________（投标人的名称），全权处理本次项目投标的有关事宜。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1.按招标文件规定的各项要求，向买方提供所需服务（包含与服务相关的货物、工程）。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十二、中小企业声明函（服务）（项目编号：**）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（项目编号：项目编号：）采购活动，提供的服务全部由符合政策要求的中小企业承接。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2、请投标人如实填写，所填内容将作为评审的依据，如填写不完整或不一致或填写有误，将不享受扶持政策。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十三、残疾人福利性单位声明函（项目编号：**）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单位的项目（项目编号：项目编号：）采购活动由本单位提供全部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1、请投标人如实填写，所填内容将作为评审的依据，如填写不完整或不一致或填写有误，将不享受扶持政策。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十四、项目需求响应承诺（项目编号：**）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none"/>
        </w:rPr>
        <w:t xml:space="preserve">十五、商务要求响应及偏离表（项目编号：**）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875"/>
        <w:gridCol w:w="267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0"/>
          <w:u w:val="single"/>
        </w:rPr>
        <w:t xml:space="preserve">十六、技术要求响应及偏离表（项目编号：**）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875"/>
        <w:gridCol w:w="267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十六、类似项目业绩一览表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2295"/>
        <w:gridCol w:w="1592"/>
        <w:gridCol w:w="1706"/>
        <w:gridCol w:w="1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项目团队人员一览表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 </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199"/>
        <w:gridCol w:w="1879"/>
        <w:gridCol w:w="951"/>
        <w:gridCol w:w="951"/>
        <w:gridCol w:w="13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注：本格式可根据项目需求、评分办法进行调整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w:panose1 w:val="05000000000000000000"/>
  </w:font>
  <w:font w:name="Symbol">
    <w:panose1 w:val="05050102010706020507"/>
  </w:font>
  <w:font w:name="楷体">
    <w:panose1 w:val="02010609060101010101"/>
  </w:font>
  <w:font w:name="方正中等线简体">
    <w:panose1 w:val="020B0503020202020204"/>
  </w:font>
  <w:font w:name="MS Mincho">
    <w:panose1 w:val="020206030504050903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74176"/>
                            <w:rPr/>
                          </w:sdtPr>
                          <w:sdtContent>
                            <w:p>
                              <w:pPr>
                                <w:pStyle w:val="712"/>
                                <w:jc w:val="center"/>
                              </w:pPr>
                              <w:r>
                                <w:fldChar w:fldCharType="begin"/>
                              </w:r>
                              <w:r>
                                <w:instrText xml:space="preserve"> PAGE   \* MERGEFORMAT </w:instrText>
                              </w:r>
                              <w:r>
                                <w:fldChar w:fldCharType="separate"/>
                              </w:r>
                              <w:r>
                                <w:rPr>
                                  <w:lang w:val="zh-CN"/>
                                </w:rPr>
                                <w:t xml:space="preserve">71</w:t>
                              </w:r>
                              <w:r>
                                <w:rPr>
                                  <w:lang w:val="zh-CN"/>
                                </w:rPr>
                                <w:fldChar w:fldCharType="end"/>
                              </w:r>
                              <w:r/>
                            </w:p>
                          </w:sdtContent>
                        </w:sdt>
                        <w:p>
                          <w:pPr>
                            <w:pStyle w:val="692"/>
                          </w:pPr>
                          <w:r/>
                          <w:r/>
                        </w:p>
                      </w:txbxContent>
                    </wps:txbx>
                    <wps:bodyPr wrap="none" lIns="0" tIns="0" rIns="0" bIns="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74176"/>
                      <w:rPr/>
                    </w:sdtPr>
                    <w:sdtContent>
                      <w:p>
                        <w:pPr>
                          <w:pStyle w:val="712"/>
                          <w:jc w:val="center"/>
                        </w:pPr>
                        <w:r>
                          <w:fldChar w:fldCharType="begin"/>
                        </w:r>
                        <w:r>
                          <w:instrText xml:space="preserve"> PAGE   \* MERGEFORMAT </w:instrText>
                        </w:r>
                        <w:r>
                          <w:fldChar w:fldCharType="separate"/>
                        </w:r>
                        <w:r>
                          <w:rPr>
                            <w:lang w:val="zh-CN"/>
                          </w:rPr>
                          <w:t xml:space="preserve">71</w:t>
                        </w:r>
                        <w:r>
                          <w:rPr>
                            <w:lang w:val="zh-CN"/>
                          </w:rPr>
                          <w:fldChar w:fldCharType="end"/>
                        </w:r>
                        <w:r/>
                      </w:p>
                    </w:sdtContent>
                  </w:sdt>
                  <w:p>
                    <w:pPr>
                      <w:pStyle w:val="692"/>
                    </w:pPr>
                    <w:r/>
                    <w:r/>
                  </w:p>
                </w:txbxContent>
              </v:textbox>
            </v:shape>
          </w:pict>
        </mc:Fallback>
      </mc:AlternateContent>
    </w:r>
    <w:r/>
  </w:p>
  <w:p>
    <w:pPr>
      <w:pStyle w:val="7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rPr>
        <w:rFonts w:hint="eastAsia"/>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tab"/>
      <w:lvlText w:val="%1、"/>
      <w:lvlJc w:val="left"/>
      <w:pPr>
        <w:ind w:left="0" w:firstLine="0"/>
      </w:pPr>
      <w:rPr>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9">
    <w:name w:val="Heading 1"/>
    <w:basedOn w:val="688"/>
    <w:next w:val="688"/>
    <w:uiPriority w:val="9"/>
    <w:qFormat/>
    <w:pPr>
      <w:keepLines/>
      <w:keepNext/>
      <w:spacing w:before="340" w:after="330" w:line="578" w:lineRule="auto"/>
      <w:outlineLvl w:val="0"/>
    </w:pPr>
    <w:rPr>
      <w:b/>
      <w:bCs/>
      <w:sz w:val="44"/>
      <w:szCs w:val="44"/>
    </w:rPr>
  </w:style>
  <w:style w:type="paragraph" w:styleId="690">
    <w:name w:val="Heading 2"/>
    <w:basedOn w:val="688"/>
    <w:next w:val="68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1">
    <w:name w:val="Heading 3"/>
    <w:basedOn w:val="688"/>
    <w:next w:val="688"/>
    <w:uiPriority w:val="9"/>
    <w:unhideWhenUsed/>
    <w:qFormat/>
    <w:pPr>
      <w:keepLines/>
      <w:keepNext/>
      <w:spacing w:before="260" w:after="260" w:line="416" w:lineRule="auto"/>
      <w:outlineLvl w:val="2"/>
    </w:pPr>
    <w:rPr>
      <w:b/>
      <w:bCs/>
      <w:sz w:val="32"/>
      <w:szCs w:val="32"/>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5"/>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9"/>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Caption"/>
    <w:basedOn w:val="688"/>
    <w:next w:val="68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2">
    <w:name w:val="annotation text"/>
    <w:basedOn w:val="688"/>
    <w:uiPriority w:val="99"/>
    <w:semiHidden/>
    <w:unhideWhenUsed/>
    <w:qFormat/>
    <w:pPr>
      <w:jc w:val="left"/>
    </w:pPr>
  </w:style>
  <w:style w:type="paragraph" w:styleId="703">
    <w:name w:val="Body Text"/>
    <w:basedOn w:val="688"/>
    <w:next w:val="704"/>
    <w:uiPriority w:val="0"/>
    <w:qFormat/>
    <w:rPr>
      <w:rFonts w:eastAsia="楷体_GB2312"/>
      <w:b/>
      <w:bCs/>
      <w:color w:val="ff0000"/>
      <w:sz w:val="32"/>
      <w:szCs w:val="32"/>
      <w:lang w:val="zh-CN"/>
    </w:rPr>
  </w:style>
  <w:style w:type="paragraph" w:styleId="704">
    <w:name w:val="Body Text 2"/>
    <w:next w:val="703"/>
    <w:uiPriority w:val="0"/>
    <w:qFormat/>
    <w:pPr>
      <w:jc w:val="both"/>
      <w:spacing w:line="560" w:lineRule="exact"/>
      <w:widowControl w:val="off"/>
    </w:pPr>
    <w:rPr>
      <w:rFonts w:hint="default" w:ascii="仿宋_GB2312" w:hAnsi="Times New Roman" w:eastAsia="仿宋_GB2312" w:cs="Times New Roman"/>
      <w:sz w:val="28"/>
      <w:szCs w:val="30"/>
      <w:lang w:val="en-US" w:eastAsia="zh-CN" w:bidi="ar-SA"/>
    </w:rPr>
  </w:style>
  <w:style w:type="paragraph" w:styleId="705">
    <w:name w:val="Body Text Indent"/>
    <w:basedOn w:val="688"/>
    <w:uiPriority w:val="0"/>
    <w:qFormat/>
    <w:pPr>
      <w:ind w:firstLine="630"/>
    </w:pPr>
    <w:rPr>
      <w:rFonts w:ascii="楷体_GB2312" w:eastAsia="楷体_GB2312"/>
      <w:sz w:val="32"/>
      <w:szCs w:val="20"/>
    </w:rPr>
  </w:style>
  <w:style w:type="paragraph" w:styleId="706">
    <w:name w:val="Block Text"/>
    <w:basedOn w:val="688"/>
    <w:uiPriority w:val="0"/>
    <w:qFormat/>
    <w:pPr>
      <w:ind w:left="840" w:right="210"/>
      <w:tabs>
        <w:tab w:val="left" w:pos="9420" w:leader="none"/>
      </w:tabs>
    </w:pPr>
    <w:rPr>
      <w:rFonts w:ascii="宋体" w:hAnsi="宋体" w:eastAsia="宋体" w:cs="Times New Roman"/>
      <w:sz w:val="24"/>
      <w:szCs w:val="24"/>
    </w:r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Plain Text"/>
    <w:basedOn w:val="688"/>
    <w:uiPriority w:val="0"/>
    <w:qFormat/>
    <w:rPr>
      <w:rFonts w:ascii="宋体" w:hAnsi="Courier New" w:eastAsia="宋体" w:cs="Times New Roman"/>
      <w:szCs w:val="20"/>
    </w:rPr>
  </w:style>
  <w:style w:type="paragraph" w:styleId="710">
    <w:name w:val="toc 8"/>
    <w:basedOn w:val="688"/>
    <w:next w:val="688"/>
    <w:uiPriority w:val="39"/>
    <w:unhideWhenUsed/>
    <w:qFormat/>
    <w:pPr>
      <w:ind w:left="1984" w:right="0" w:firstLine="0"/>
      <w:spacing w:after="57"/>
    </w:pPr>
  </w:style>
  <w:style w:type="paragraph" w:styleId="711">
    <w:name w:val="endnote text"/>
    <w:basedOn w:val="688"/>
    <w:link w:val="876"/>
    <w:uiPriority w:val="99"/>
    <w:semiHidden/>
    <w:unhideWhenUsed/>
    <w:qFormat/>
    <w:pPr>
      <w:spacing w:after="0" w:line="240" w:lineRule="auto"/>
    </w:pPr>
    <w:rPr>
      <w:sz w:val="20"/>
    </w:rPr>
  </w:style>
  <w:style w:type="paragraph" w:styleId="712">
    <w:name w:val="Footer"/>
    <w:basedOn w:val="688"/>
    <w:uiPriority w:val="99"/>
    <w:unhideWhenUsed/>
    <w:qFormat/>
    <w:pPr>
      <w:jc w:val="left"/>
      <w:tabs>
        <w:tab w:val="center" w:pos="4153" w:leader="none"/>
        <w:tab w:val="right" w:pos="8306" w:leader="none"/>
      </w:tabs>
    </w:pPr>
    <w:rPr>
      <w:sz w:val="18"/>
      <w:szCs w:val="18"/>
    </w:rPr>
  </w:style>
  <w:style w:type="paragraph" w:styleId="713">
    <w:name w:val="Header"/>
    <w:basedOn w:val="68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14">
    <w:name w:val="toc 1"/>
    <w:basedOn w:val="688"/>
    <w:next w:val="688"/>
    <w:uiPriority w:val="39"/>
    <w:unhideWhenUsed/>
    <w:qFormat/>
  </w:style>
  <w:style w:type="paragraph" w:styleId="715">
    <w:name w:val="toc 4"/>
    <w:basedOn w:val="688"/>
    <w:next w:val="688"/>
    <w:uiPriority w:val="39"/>
    <w:unhideWhenUsed/>
    <w:qFormat/>
    <w:pPr>
      <w:ind w:left="850" w:right="0" w:firstLine="0"/>
      <w:spacing w:after="57"/>
    </w:pPr>
  </w:style>
  <w:style w:type="paragraph" w:styleId="716">
    <w:name w:val="Subtitle"/>
    <w:basedOn w:val="688"/>
    <w:next w:val="688"/>
    <w:link w:val="742"/>
    <w:uiPriority w:val="11"/>
    <w:qFormat/>
    <w:pPr>
      <w:spacing w:before="200" w:after="200"/>
    </w:pPr>
    <w:rPr>
      <w:sz w:val="24"/>
      <w:szCs w:val="24"/>
    </w:rPr>
  </w:style>
  <w:style w:type="paragraph" w:styleId="717">
    <w:name w:val="footnote text"/>
    <w:basedOn w:val="688"/>
    <w:link w:val="875"/>
    <w:uiPriority w:val="99"/>
    <w:semiHidden/>
    <w:unhideWhenUsed/>
    <w:qFormat/>
    <w:pPr>
      <w:spacing w:after="40" w:line="240" w:lineRule="auto"/>
    </w:pPr>
    <w:rPr>
      <w:sz w:val="18"/>
    </w:rPr>
  </w:style>
  <w:style w:type="paragraph" w:styleId="718">
    <w:name w:val="toc 6"/>
    <w:basedOn w:val="688"/>
    <w:next w:val="688"/>
    <w:uiPriority w:val="39"/>
    <w:unhideWhenUsed/>
    <w:qFormat/>
    <w:pPr>
      <w:ind w:left="1417" w:right="0" w:firstLine="0"/>
      <w:spacing w:after="57"/>
    </w:pPr>
  </w:style>
  <w:style w:type="paragraph" w:styleId="719">
    <w:name w:val="table of figures"/>
    <w:basedOn w:val="688"/>
    <w:next w:val="688"/>
    <w:uiPriority w:val="99"/>
    <w:unhideWhenUsed/>
    <w:qFormat/>
    <w:pPr>
      <w:spacing w:after="0" w:afterAutospacing="0"/>
    </w:pPr>
  </w:style>
  <w:style w:type="paragraph" w:styleId="720">
    <w:name w:val="toc 2"/>
    <w:basedOn w:val="688"/>
    <w:next w:val="688"/>
    <w:uiPriority w:val="39"/>
    <w:unhideWhenUsed/>
    <w:qFormat/>
    <w:pPr>
      <w:ind w:left="283" w:right="0" w:firstLine="0"/>
      <w:spacing w:after="57"/>
    </w:pPr>
  </w:style>
  <w:style w:type="paragraph" w:styleId="721">
    <w:name w:val="toc 9"/>
    <w:basedOn w:val="688"/>
    <w:next w:val="688"/>
    <w:uiPriority w:val="39"/>
    <w:unhideWhenUsed/>
    <w:qFormat/>
    <w:pPr>
      <w:ind w:left="2268" w:right="0" w:firstLine="0"/>
      <w:spacing w:after="57"/>
    </w:pPr>
  </w:style>
  <w:style w:type="paragraph" w:styleId="722">
    <w:name w:val="List Continue 2"/>
    <w:basedOn w:val="688"/>
    <w:next w:val="688"/>
    <w:uiPriority w:val="0"/>
    <w:qFormat/>
    <w:pPr>
      <w:ind w:left="840"/>
      <w:spacing w:after="120"/>
    </w:pPr>
    <w:rPr>
      <w:rFonts w:eastAsia="宋体"/>
    </w:rPr>
  </w:style>
  <w:style w:type="paragraph" w:styleId="723">
    <w:name w:val="HTML Preformatted"/>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4">
    <w:name w:val="Normal (Web)"/>
    <w:uiPriority w:val="99"/>
    <w:unhideWhenUsed/>
    <w:qFormat/>
    <w:pPr>
      <w:ind w:left="0" w:right="0"/>
      <w:jc w:val="left"/>
      <w:spacing w:before="100" w:beforeAutospacing="1" w:after="100" w:afterAutospacing="1"/>
      <w:widowControl w:val="off"/>
    </w:pPr>
    <w:rPr>
      <w:rFonts w:hint="default" w:ascii="Calibri" w:hAnsi="Calibri" w:eastAsia="宋体" w:cs="Times New Roman"/>
      <w:sz w:val="24"/>
      <w:szCs w:val="22"/>
      <w:lang w:val="en-US" w:eastAsia="zh-CN" w:bidi="ar"/>
    </w:rPr>
  </w:style>
  <w:style w:type="paragraph" w:styleId="725">
    <w:name w:val="Title"/>
    <w:basedOn w:val="688"/>
    <w:next w:val="688"/>
    <w:link w:val="741"/>
    <w:uiPriority w:val="10"/>
    <w:qFormat/>
    <w:pPr>
      <w:contextualSpacing/>
      <w:spacing w:before="300" w:after="200"/>
    </w:pPr>
    <w:rPr>
      <w:sz w:val="48"/>
      <w:szCs w:val="48"/>
    </w:rPr>
  </w:style>
  <w:style w:type="table" w:styleId="726">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7">
    <w:name w:val="endnote reference"/>
    <w:basedOn w:val="698"/>
    <w:uiPriority w:val="99"/>
    <w:semiHidden/>
    <w:unhideWhenUsed/>
    <w:qFormat/>
    <w:rPr>
      <w:vertAlign w:val="superscript"/>
    </w:rPr>
  </w:style>
  <w:style w:type="character" w:styleId="728">
    <w:name w:val="Hyperlink"/>
    <w:uiPriority w:val="99"/>
    <w:qFormat/>
    <w:rPr>
      <w:color w:val="0000ff"/>
      <w:u w:val="none"/>
    </w:rPr>
  </w:style>
  <w:style w:type="character" w:styleId="729">
    <w:name w:val="annotation reference"/>
    <w:uiPriority w:val="0"/>
    <w:qFormat/>
    <w:rPr>
      <w:sz w:val="21"/>
      <w:szCs w:val="21"/>
    </w:rPr>
  </w:style>
  <w:style w:type="character" w:styleId="730">
    <w:name w:val="footnote reference"/>
    <w:basedOn w:val="698"/>
    <w:uiPriority w:val="99"/>
    <w:unhideWhenUsed/>
    <w:qFormat/>
    <w:rPr>
      <w:vertAlign w:val="superscript"/>
    </w:rPr>
  </w:style>
  <w:style w:type="character" w:styleId="731" w:customStyle="1">
    <w:name w:val="Heading 1 Char"/>
    <w:basedOn w:val="698"/>
    <w:uiPriority w:val="9"/>
    <w:qFormat/>
    <w:rPr>
      <w:rFonts w:ascii="Arial" w:hAnsi="Arial" w:eastAsia="Arial" w:cs="Arial"/>
      <w:sz w:val="40"/>
      <w:szCs w:val="40"/>
    </w:rPr>
  </w:style>
  <w:style w:type="character" w:styleId="732" w:customStyle="1">
    <w:name w:val="Heading 2 Char"/>
    <w:basedOn w:val="698"/>
    <w:uiPriority w:val="9"/>
    <w:qFormat/>
    <w:rPr>
      <w:rFonts w:ascii="Arial" w:hAnsi="Arial" w:eastAsia="Arial" w:cs="Arial"/>
      <w:sz w:val="34"/>
    </w:rPr>
  </w:style>
  <w:style w:type="character" w:styleId="733" w:customStyle="1">
    <w:name w:val="Heading 3 Char"/>
    <w:basedOn w:val="698"/>
    <w:uiPriority w:val="9"/>
    <w:qFormat/>
    <w:rPr>
      <w:rFonts w:ascii="Arial" w:hAnsi="Arial" w:eastAsia="Arial" w:cs="Arial"/>
      <w:sz w:val="30"/>
      <w:szCs w:val="30"/>
    </w:rPr>
  </w:style>
  <w:style w:type="character" w:styleId="734" w:customStyle="1">
    <w:name w:val="Heading 4 Char"/>
    <w:basedOn w:val="698"/>
    <w:uiPriority w:val="9"/>
    <w:qFormat/>
    <w:rPr>
      <w:rFonts w:ascii="Arial" w:hAnsi="Arial" w:eastAsia="Arial" w:cs="Arial"/>
      <w:b/>
      <w:bCs/>
      <w:sz w:val="26"/>
      <w:szCs w:val="26"/>
    </w:rPr>
  </w:style>
  <w:style w:type="character" w:styleId="735" w:customStyle="1">
    <w:name w:val="Heading 5 Char"/>
    <w:basedOn w:val="698"/>
    <w:link w:val="693"/>
    <w:uiPriority w:val="9"/>
    <w:qFormat/>
    <w:rPr>
      <w:rFonts w:ascii="Arial" w:hAnsi="Arial" w:eastAsia="Arial" w:cs="Arial"/>
      <w:b/>
      <w:bCs/>
      <w:sz w:val="24"/>
      <w:szCs w:val="24"/>
    </w:rPr>
  </w:style>
  <w:style w:type="character" w:styleId="736" w:customStyle="1">
    <w:name w:val="Heading 6 Char"/>
    <w:basedOn w:val="698"/>
    <w:link w:val="694"/>
    <w:uiPriority w:val="9"/>
    <w:qFormat/>
    <w:rPr>
      <w:rFonts w:ascii="Arial" w:hAnsi="Arial" w:eastAsia="Arial" w:cs="Arial"/>
      <w:b/>
      <w:bCs/>
      <w:sz w:val="22"/>
      <w:szCs w:val="22"/>
    </w:rPr>
  </w:style>
  <w:style w:type="character" w:styleId="737" w:customStyle="1">
    <w:name w:val="Heading 7 Char"/>
    <w:basedOn w:val="698"/>
    <w:link w:val="695"/>
    <w:uiPriority w:val="9"/>
    <w:qFormat/>
    <w:rPr>
      <w:rFonts w:ascii="Arial" w:hAnsi="Arial" w:eastAsia="Arial" w:cs="Arial"/>
      <w:b/>
      <w:bCs/>
      <w:i/>
      <w:iCs/>
      <w:sz w:val="22"/>
      <w:szCs w:val="22"/>
    </w:rPr>
  </w:style>
  <w:style w:type="character" w:styleId="738" w:customStyle="1">
    <w:name w:val="Heading 8 Char"/>
    <w:basedOn w:val="698"/>
    <w:link w:val="696"/>
    <w:uiPriority w:val="9"/>
    <w:qFormat/>
    <w:rPr>
      <w:rFonts w:ascii="Arial" w:hAnsi="Arial" w:eastAsia="Arial" w:cs="Arial"/>
      <w:i/>
      <w:iCs/>
      <w:sz w:val="22"/>
      <w:szCs w:val="22"/>
    </w:rPr>
  </w:style>
  <w:style w:type="character" w:styleId="739" w:customStyle="1">
    <w:name w:val="Heading 9 Char"/>
    <w:basedOn w:val="698"/>
    <w:link w:val="697"/>
    <w:uiPriority w:val="9"/>
    <w:qFormat/>
    <w:rPr>
      <w:rFonts w:ascii="Arial" w:hAnsi="Arial" w:eastAsia="Arial" w:cs="Arial"/>
      <w:i/>
      <w:iCs/>
      <w:sz w:val="21"/>
      <w:szCs w:val="21"/>
    </w:r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basedOn w:val="698"/>
    <w:link w:val="725"/>
    <w:uiPriority w:val="10"/>
    <w:qFormat/>
    <w:rPr>
      <w:sz w:val="48"/>
      <w:szCs w:val="48"/>
    </w:rPr>
  </w:style>
  <w:style w:type="character" w:styleId="742" w:customStyle="1">
    <w:name w:val="Subtitle Char"/>
    <w:basedOn w:val="698"/>
    <w:link w:val="716"/>
    <w:uiPriority w:val="11"/>
    <w:qFormat/>
    <w:rPr>
      <w:sz w:val="24"/>
      <w:szCs w:val="24"/>
    </w:rPr>
  </w:style>
  <w:style w:type="paragraph" w:styleId="743">
    <w:name w:val="Quote"/>
    <w:basedOn w:val="688"/>
    <w:next w:val="688"/>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8"/>
    <w:next w:val="688"/>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8"/>
    <w:uiPriority w:val="99"/>
    <w:qFormat/>
  </w:style>
  <w:style w:type="character" w:styleId="748" w:customStyle="1">
    <w:name w:val="Footer Char"/>
    <w:basedOn w:val="698"/>
    <w:uiPriority w:val="99"/>
    <w:qFormat/>
  </w:style>
  <w:style w:type="character" w:styleId="749" w:customStyle="1">
    <w:name w:val="Caption Char"/>
    <w:uiPriority w:val="99"/>
    <w:qFormat/>
  </w:style>
  <w:style w:type="table" w:styleId="750"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9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9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9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9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9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9" w:customStyle="1">
    <w:name w:val="Grid Table 4 - Accent 2"/>
    <w:basedOn w:val="69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0" w:customStyle="1">
    <w:name w:val="Grid Table 4 - Accent 3"/>
    <w:basedOn w:val="69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1" w:customStyle="1">
    <w:name w:val="Grid Table 4 - Accent 4"/>
    <w:basedOn w:val="69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2" w:customStyle="1">
    <w:name w:val="Grid Table 4 - Accent 5"/>
    <w:basedOn w:val="69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3" w:customStyle="1">
    <w:name w:val="Grid Table 4 - Accent 6"/>
    <w:basedOn w:val="69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4"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6"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7"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8"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9"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0"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1"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9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9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6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9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7" w:customStyle="1">
    <w:name w:val="Grid Table 6 Colorful - Accent 6"/>
    <w:basedOn w:val="69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9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9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9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9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9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9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9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9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9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9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9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9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2"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9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4" w:customStyle="1">
    <w:name w:val="List Table 2 - Accent 2"/>
    <w:basedOn w:val="69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5" w:customStyle="1">
    <w:name w:val="List Table 2 - Accent 3"/>
    <w:basedOn w:val="69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6" w:customStyle="1">
    <w:name w:val="List Table 2 - Accent 4"/>
    <w:basedOn w:val="69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7" w:customStyle="1">
    <w:name w:val="List Table 2 - Accent 5"/>
    <w:basedOn w:val="69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8" w:customStyle="1">
    <w:name w:val="List Table 2 - Accent 6"/>
    <w:basedOn w:val="69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9"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9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3 - Accent 2"/>
    <w:basedOn w:val="6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9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9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9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6"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9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8" w:customStyle="1">
    <w:name w:val="List Table 4 - Accent 2"/>
    <w:basedOn w:val="69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9" w:customStyle="1">
    <w:name w:val="List Table 4 - Accent 3"/>
    <w:basedOn w:val="69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0" w:customStyle="1">
    <w:name w:val="List Table 4 - Accent 4"/>
    <w:basedOn w:val="69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1" w:customStyle="1">
    <w:name w:val="List Table 4 - Accent 5"/>
    <w:basedOn w:val="69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2" w:customStyle="1">
    <w:name w:val="List Table 4 - Accent 6"/>
    <w:basedOn w:val="69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3"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9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9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9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9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9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9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9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2" w:customStyle="1">
    <w:name w:val="List Table 6 Colorful - Accent 2"/>
    <w:basedOn w:val="69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3" w:customStyle="1">
    <w:name w:val="List Table 6 Colorful - Accent 3"/>
    <w:basedOn w:val="69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4" w:customStyle="1">
    <w:name w:val="List Table 6 Colorful - Accent 4"/>
    <w:basedOn w:val="69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5" w:customStyle="1">
    <w:name w:val="List Table 6 Colorful - Accent 5"/>
    <w:basedOn w:val="69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6" w:customStyle="1">
    <w:name w:val="List Table 6 Colorful - Accent 6"/>
    <w:basedOn w:val="69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7"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9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9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9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9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9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9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9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3" w:customStyle="1">
    <w:name w:val="Bordered &amp; Lined - Accent 2"/>
    <w:basedOn w:val="69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4" w:customStyle="1">
    <w:name w:val="Bordered &amp; Lined - Accent 3"/>
    <w:basedOn w:val="69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5" w:customStyle="1">
    <w:name w:val="Bordered &amp; Lined - Accent 4"/>
    <w:basedOn w:val="69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6" w:customStyle="1">
    <w:name w:val="Bordered &amp; Lined - Accent 5"/>
    <w:basedOn w:val="69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7" w:customStyle="1">
    <w:name w:val="Bordered &amp; Lined - Accent 6"/>
    <w:basedOn w:val="69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8"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0" w:customStyle="1">
    <w:name w:val="Bordered - Accent 2"/>
    <w:basedOn w:val="6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1" w:customStyle="1">
    <w:name w:val="Bordered - Accent 3"/>
    <w:basedOn w:val="69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2" w:customStyle="1">
    <w:name w:val="Bordered - Accent 4"/>
    <w:basedOn w:val="6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3" w:customStyle="1">
    <w:name w:val="Bordered - Accent 5"/>
    <w:basedOn w:val="6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4" w:customStyle="1">
    <w:name w:val="Bordered - Accent 6"/>
    <w:basedOn w:val="6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5" w:customStyle="1">
    <w:name w:val="Footnote Text Char"/>
    <w:link w:val="717"/>
    <w:uiPriority w:val="99"/>
    <w:qFormat/>
    <w:rPr>
      <w:sz w:val="18"/>
    </w:rPr>
  </w:style>
  <w:style w:type="character" w:styleId="876" w:customStyle="1">
    <w:name w:val="Endnote Text Char"/>
    <w:link w:val="711"/>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Table Text"/>
    <w:basedOn w:val="688"/>
    <w:uiPriority w:val="0"/>
    <w:semiHidden/>
    <w:qFormat/>
    <w:rPr>
      <w:rFonts w:ascii="宋体" w:hAnsi="宋体" w:eastAsia="宋体" w:cs="宋体"/>
      <w:sz w:val="24"/>
      <w:szCs w:val="24"/>
      <w:lang w:eastAsia="en-US"/>
    </w:rPr>
  </w:style>
  <w:style w:type="table" w:styleId="879" w:customStyle="1">
    <w:name w:val="Table Normal"/>
    <w:uiPriority w:val="0"/>
    <w:unhideWhenUsed/>
    <w:qFormat/>
    <w:tblPr>
      <w:tblCellMar>
        <w:left w:w="0" w:type="dxa"/>
        <w:top w:w="0" w:type="dxa"/>
        <w:right w:w="0" w:type="dxa"/>
        <w:bottom w:w="0" w:type="dxa"/>
      </w:tblCellMar>
    </w:tblPr>
  </w:style>
  <w:style w:type="paragraph" w:styleId="880"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81" w:customStyle="1">
    <w:name w:val="Char"/>
    <w:basedOn w:val="688"/>
    <w:uiPriority w:val="0"/>
    <w:qFormat/>
    <w:pPr>
      <w:ind w:firstLine="200"/>
      <w:tabs>
        <w:tab w:val="left" w:pos="360" w:leader="none"/>
      </w:tabs>
    </w:pPr>
    <w:rPr>
      <w:sz w:val="28"/>
      <w:szCs w:val="30"/>
    </w:rPr>
  </w:style>
  <w:style w:type="paragraph" w:styleId="882"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883">
    <w:name w:val="List Paragraph"/>
    <w:basedOn w:val="688"/>
    <w:uiPriority w:val="0"/>
    <w:qFormat/>
    <w:pPr>
      <w:ind w:firstLine="420"/>
    </w:pPr>
    <w:rPr>
      <w:rFonts w:ascii="Calibri" w:hAnsi="Calibri"/>
    </w:rPr>
  </w:style>
  <w:style w:type="paragraph" w:styleId="884" w:customStyle="1">
    <w:name w:val="段落大意"/>
    <w:uiPriority w:val="0"/>
    <w:qFormat/>
    <w:pPr>
      <w:ind w:firstLine="200"/>
      <w:jc w:val="both"/>
      <w:spacing w:line="300" w:lineRule="auto"/>
    </w:pPr>
    <w:rPr>
      <w:rFonts w:hint="default" w:ascii="方正中等线简体" w:hAnsi="方正中等线简体" w:eastAsia="方正中等线简体" w:cs="方正中等线简体"/>
      <w:sz w:val="21"/>
      <w:szCs w:val="22"/>
      <w:lang w:val="en-US" w:eastAsia="zh-CN" w:bidi="ar-SA"/>
    </w:rPr>
  </w:style>
  <w:style w:type="paragraph" w:styleId="885" w:customStyle="1">
    <w:name w:val="列表段落1"/>
    <w:basedOn w:val="688"/>
    <w:uiPriority w:val="99"/>
    <w:qFormat/>
    <w:pPr>
      <w:ind w:firstLine="420"/>
      <w:jc w:val="left"/>
    </w:pPr>
    <w:rPr>
      <w:rFonts w:ascii="宋体" w:hAnsi="宋体" w:eastAsia="宋体" w:cs="宋体"/>
      <w:sz w:val="22"/>
      <w:lang w:val="zh-CN" w:bidi="zh-CN"/>
    </w:rPr>
  </w:style>
  <w:style w:type="paragraph" w:styleId="886" w:customStyle="1">
    <w:name w:val="列出段落4"/>
    <w:basedOn w:val="688"/>
    <w:uiPriority w:val="99"/>
    <w:unhideWhenUsed/>
    <w:qFormat/>
    <w:pPr>
      <w:ind w:firstLine="420"/>
    </w:pPr>
    <w:rPr>
      <w:rFonts w:ascii="Calibri" w:hAnsi="Calibri" w:eastAsia="楷体"/>
    </w:rPr>
  </w:style>
  <w:style w:type="character" w:styleId="887" w:customStyle="1">
    <w:name w:val="font41"/>
    <w:uiPriority w:val="0"/>
    <w:qFormat/>
    <w:rPr>
      <w:rFonts w:hint="eastAsia" w:ascii="宋体" w:hAnsi="宋体" w:eastAsia="宋体" w:cs="宋体"/>
      <w:color w:val="000000"/>
      <w:sz w:val="24"/>
      <w:szCs w:val="24"/>
      <w:u w:val="none"/>
    </w:rPr>
  </w:style>
  <w:style w:type="paragraph" w:styleId="888"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9" w:customStyle="1">
    <w:name w:val="段"/>
    <w:next w:val="688"/>
    <w:uiPriority w:val="0"/>
    <w:qFormat/>
    <w:pPr>
      <w:ind w:firstLine="200"/>
      <w:jc w:val="both"/>
    </w:pPr>
    <w:rPr>
      <w:rFonts w:hint="default" w:ascii="宋体" w:hAnsi="Calibri" w:eastAsia="宋体" w:cs="Times New Roman"/>
      <w:sz w:val="21"/>
      <w:lang w:val="en-US" w:eastAsia="zh-CN" w:bidi="ar-SA"/>
    </w:rPr>
  </w:style>
  <w:style w:type="paragraph" w:styleId="890" w:customStyle="1">
    <w:name w:val="纯文本1"/>
    <w:basedOn w:val="688"/>
    <w:uiPriority w:val="0"/>
    <w:qFormat/>
    <w:pPr>
      <w:ind w:firstLine="922"/>
      <w:spacing w:line="360" w:lineRule="auto"/>
    </w:pPr>
    <w:rPr>
      <w:rFonts w:ascii="宋体" w:hAnsi="Courier New" w:eastAsia="宋体" w:cs="Times New Roman"/>
      <w:szCs w:val="24"/>
    </w:r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66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01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7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4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341"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84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王倩</cp:lastModifiedBy>
  <cp:revision>109</cp:revision>
  <dcterms:created xsi:type="dcterms:W3CDTF">2024-04-18T07:05:00Z</dcterms:created>
  <dcterms:modified xsi:type="dcterms:W3CDTF">2026-01-28T08:22:49Z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73E35CB42D7645828287EB28E546D79F_13</vt:lpwstr>
  </property>
  <property fmtid="{D5CDD505-2E9C-101B-9397-08002B2CF9AE}" pid="4" name="KSOTemplateDocerSaveRecord">
    <vt:lpwstr>eyJoZGlkIjoiYjJlZGM1ZTYxOTgzNTA1N2YyZWE1ZGFmYWNjZGJlZDgiLCJ1c2VySWQiOiIyNjYzMjYwNTIifQ==</vt:lpwstr>
  </property>
</Properties>
</file>